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洪教义教字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26号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jc w:val="center"/>
        <w:rPr>
          <w:rFonts w:hint="eastAsia"/>
          <w:b/>
          <w:sz w:val="44"/>
          <w:lang w:val="en-US" w:eastAsia="zh-CN"/>
        </w:rPr>
      </w:pPr>
    </w:p>
    <w:p>
      <w:pPr>
        <w:jc w:val="center"/>
        <w:rPr>
          <w:rFonts w:hint="eastAsia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南昌市教育局关于印发《关于开展无证幼儿园专项治理工作实施方案》的通知</w:t>
      </w:r>
    </w:p>
    <w:bookmarkEnd w:id="2"/>
    <w:p>
      <w:pPr>
        <w:jc w:val="center"/>
        <w:rPr>
          <w:rFonts w:hint="eastAsia"/>
          <w:b/>
          <w:sz w:val="44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各县（区）教体局、开发区（新区）教体办：</w:t>
      </w:r>
    </w:p>
    <w:p>
      <w:pPr>
        <w:spacing w:line="24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现将</w:t>
      </w:r>
      <w:r>
        <w:rPr>
          <w:rFonts w:hint="eastAsia" w:ascii="仿宋" w:hAnsi="仿宋" w:eastAsia="仿宋"/>
          <w:sz w:val="32"/>
          <w:szCs w:val="32"/>
        </w:rPr>
        <w:t>《关于开展无证幼儿园专项治理工作实施方案》印发给你们，请认真遵照执行。</w:t>
      </w:r>
    </w:p>
    <w:p>
      <w:pPr>
        <w:jc w:val="both"/>
        <w:rPr>
          <w:rFonts w:hint="eastAsia"/>
          <w:b/>
          <w:sz w:val="44"/>
          <w:lang w:val="en-US" w:eastAsia="zh-CN"/>
        </w:rPr>
      </w:pPr>
    </w:p>
    <w:p>
      <w:pPr>
        <w:jc w:val="both"/>
        <w:rPr>
          <w:rFonts w:hint="eastAsia"/>
          <w:b/>
          <w:sz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1.25pt;margin-top:9.1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ind w:firstLine="883" w:firstLineChars="200"/>
        <w:jc w:val="left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南昌市教育局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 xml:space="preserve">                           2019年11月25日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</w:p>
    <w:bookmarkEnd w:id="1"/>
    <w:p>
      <w:pPr>
        <w:jc w:val="center"/>
        <w:rPr>
          <w:rFonts w:hint="eastAsia"/>
          <w:b/>
          <w:sz w:val="44"/>
          <w:lang w:eastAsia="zh-CN"/>
        </w:rPr>
      </w:pPr>
      <w:r>
        <w:rPr>
          <w:b/>
          <w:sz w:val="44"/>
        </w:rPr>
        <w:t>关于开展无证幼儿园</w:t>
      </w:r>
      <w:r>
        <w:rPr>
          <w:rFonts w:hint="eastAsia"/>
          <w:b/>
          <w:sz w:val="44"/>
          <w:lang w:eastAsia="zh-CN"/>
        </w:rPr>
        <w:t>专项治理</w:t>
      </w:r>
    </w:p>
    <w:p>
      <w:pPr>
        <w:jc w:val="center"/>
        <w:rPr>
          <w:rFonts w:hint="eastAsia" w:eastAsiaTheme="minorEastAsia"/>
          <w:b/>
          <w:sz w:val="44"/>
          <w:lang w:eastAsia="zh-CN"/>
        </w:rPr>
      </w:pPr>
      <w:r>
        <w:rPr>
          <w:b/>
          <w:sz w:val="44"/>
        </w:rPr>
        <w:t>工作</w:t>
      </w:r>
      <w:r>
        <w:rPr>
          <w:rFonts w:hint="eastAsia"/>
          <w:b/>
          <w:sz w:val="44"/>
          <w:lang w:eastAsia="zh-CN"/>
        </w:rPr>
        <w:t>实施方案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各县（区）教体局、开发区（新区）教体办：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为认真贯彻落实《中共中央 国务院关于学前教育深化改革规范发展的若干意见》（中发〔2018〕39号）</w:t>
      </w:r>
      <w:r>
        <w:rPr>
          <w:rFonts w:hint="eastAsia" w:ascii="仿宋" w:hAnsi="仿宋" w:eastAsia="仿宋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theme="minorBidi"/>
          <w:b w:val="0"/>
          <w:bCs w:val="0"/>
          <w:i w:val="0"/>
          <w:caps w:val="0"/>
          <w:spacing w:val="0"/>
          <w:sz w:val="32"/>
          <w:szCs w:val="32"/>
          <w:lang w:val="en-US" w:eastAsia="zh-CN"/>
        </w:rPr>
        <w:t>中共江西省委 江西省人民政府</w:t>
      </w:r>
      <w:r>
        <w:rPr>
          <w:rFonts w:hint="eastAsia" w:ascii="仿宋" w:hAnsi="仿宋" w:eastAsia="仿宋" w:cstheme="minorBidi"/>
          <w:b w:val="0"/>
          <w:bCs w:val="0"/>
          <w:i w:val="0"/>
          <w:caps w:val="0"/>
          <w:spacing w:val="0"/>
          <w:sz w:val="32"/>
          <w:szCs w:val="32"/>
        </w:rPr>
        <w:t>关于学前教育深化改革规范发展的</w:t>
      </w:r>
      <w:r>
        <w:rPr>
          <w:rFonts w:hint="eastAsia" w:ascii="仿宋" w:hAnsi="仿宋" w:eastAsia="仿宋" w:cstheme="minorBidi"/>
          <w:b w:val="0"/>
          <w:bCs w:val="0"/>
          <w:i w:val="0"/>
          <w:caps w:val="0"/>
          <w:spacing w:val="0"/>
          <w:sz w:val="32"/>
          <w:szCs w:val="32"/>
          <w:lang w:val="en-US" w:eastAsia="zh-CN"/>
        </w:rPr>
        <w:t>实施</w:t>
      </w:r>
      <w:r>
        <w:rPr>
          <w:rFonts w:hint="eastAsia" w:ascii="仿宋" w:hAnsi="仿宋" w:eastAsia="仿宋" w:cstheme="minorBidi"/>
          <w:b w:val="0"/>
          <w:bCs w:val="0"/>
          <w:i w:val="0"/>
          <w:caps w:val="0"/>
          <w:spacing w:val="0"/>
          <w:sz w:val="32"/>
          <w:szCs w:val="32"/>
        </w:rPr>
        <w:t>意见</w:t>
      </w:r>
      <w:r>
        <w:rPr>
          <w:rFonts w:hint="eastAsia" w:ascii="仿宋" w:hAnsi="仿宋" w:eastAsia="仿宋" w:cstheme="minorBidi"/>
          <w:b w:val="0"/>
          <w:bCs w:val="0"/>
          <w:i w:val="0"/>
          <w:caps w:val="0"/>
          <w:spacing w:val="0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theme="minorBidi"/>
          <w:b w:val="0"/>
          <w:bCs w:val="0"/>
          <w:i w:val="0"/>
          <w:caps w:val="0"/>
          <w:spacing w:val="0"/>
          <w:sz w:val="32"/>
          <w:szCs w:val="32"/>
          <w:lang w:val="en-US" w:eastAsia="zh-CN"/>
        </w:rPr>
        <w:t>赣发</w:t>
      </w:r>
      <w:r>
        <w:rPr>
          <w:rFonts w:hint="eastAsia" w:ascii="仿宋" w:hAnsi="仿宋" w:eastAsia="仿宋"/>
          <w:sz w:val="32"/>
          <w:szCs w:val="32"/>
        </w:rPr>
        <w:t>〔2018〕</w:t>
      </w:r>
      <w:r>
        <w:rPr>
          <w:rFonts w:hint="eastAsia" w:ascii="仿宋" w:hAnsi="仿宋" w:eastAsia="仿宋" w:cstheme="minorBidi"/>
          <w:b w:val="0"/>
          <w:bCs w:val="0"/>
          <w:i w:val="0"/>
          <w:caps w:val="0"/>
          <w:spacing w:val="0"/>
          <w:sz w:val="32"/>
          <w:szCs w:val="32"/>
          <w:lang w:val="en-US" w:eastAsia="zh-CN"/>
        </w:rPr>
        <w:t>21号</w:t>
      </w:r>
      <w:r>
        <w:rPr>
          <w:rFonts w:hint="eastAsia" w:ascii="仿宋" w:hAnsi="仿宋" w:eastAsia="仿宋" w:cstheme="minorBidi"/>
          <w:b w:val="0"/>
          <w:bCs w:val="0"/>
          <w:i w:val="0"/>
          <w:caps w:val="0"/>
          <w:spacing w:val="0"/>
          <w:sz w:val="32"/>
          <w:szCs w:val="32"/>
          <w:lang w:eastAsia="zh-CN"/>
        </w:rPr>
        <w:t>）精神，</w:t>
      </w:r>
      <w:r>
        <w:rPr>
          <w:rFonts w:hint="eastAsia" w:ascii="仿宋" w:hAnsi="仿宋" w:eastAsia="仿宋"/>
          <w:sz w:val="32"/>
          <w:szCs w:val="32"/>
        </w:rPr>
        <w:t>进一步规范办园行为，为广大幼儿营造健康、安全的教育环境，保障在园幼儿的生命安全和身心健康，现就开展无证幼儿园专项治理工作制定实施方案如下：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治理对象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全市所有未经审批机关批准，未取得办园许可证、由单位或个人擅自举办的无证幼儿园。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治理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原则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（一）坚持属地管理。</w:t>
      </w:r>
      <w:r>
        <w:rPr>
          <w:rFonts w:ascii="仿宋" w:hAnsi="仿宋" w:eastAsia="仿宋"/>
          <w:sz w:val="32"/>
          <w:szCs w:val="32"/>
        </w:rPr>
        <w:t>按照“属地管理”</w:t>
      </w:r>
      <w:r>
        <w:rPr>
          <w:rFonts w:hint="eastAsia" w:ascii="仿宋" w:hAnsi="仿宋" w:eastAsia="仿宋"/>
          <w:sz w:val="32"/>
          <w:szCs w:val="32"/>
          <w:lang w:eastAsia="zh-CN"/>
        </w:rPr>
        <w:t>和“谁审批、谁负责”</w:t>
      </w:r>
      <w:r>
        <w:rPr>
          <w:rFonts w:ascii="仿宋" w:hAnsi="仿宋" w:eastAsia="仿宋"/>
          <w:sz w:val="32"/>
          <w:szCs w:val="32"/>
        </w:rPr>
        <w:t>的原则，</w:t>
      </w:r>
      <w:r>
        <w:rPr>
          <w:rFonts w:hint="eastAsia" w:ascii="仿宋" w:hAnsi="仿宋" w:eastAsia="仿宋"/>
          <w:sz w:val="32"/>
          <w:szCs w:val="32"/>
        </w:rPr>
        <w:t>各县（区）、开发区（新区）</w:t>
      </w:r>
      <w:r>
        <w:rPr>
          <w:rFonts w:hint="eastAsia" w:ascii="仿宋" w:hAnsi="仿宋" w:eastAsia="仿宋"/>
          <w:sz w:val="32"/>
          <w:szCs w:val="32"/>
          <w:lang w:eastAsia="zh-CN"/>
        </w:rPr>
        <w:t>（以下简称各县区）教育主管部门</w:t>
      </w:r>
      <w:r>
        <w:rPr>
          <w:rFonts w:hint="eastAsia" w:ascii="仿宋" w:hAnsi="仿宋" w:eastAsia="仿宋"/>
          <w:sz w:val="32"/>
          <w:szCs w:val="32"/>
        </w:rPr>
        <w:t>要切实履行对民办学前教育工作的管理职责，迅速成立无证幼儿园</w:t>
      </w:r>
      <w:r>
        <w:rPr>
          <w:rFonts w:hint="eastAsia" w:ascii="仿宋" w:hAnsi="仿宋" w:eastAsia="仿宋"/>
          <w:sz w:val="32"/>
          <w:szCs w:val="32"/>
          <w:lang w:eastAsia="zh-CN"/>
        </w:rPr>
        <w:t>专项治理</w:t>
      </w:r>
      <w:r>
        <w:rPr>
          <w:rFonts w:hint="eastAsia" w:ascii="仿宋" w:hAnsi="仿宋" w:eastAsia="仿宋"/>
          <w:sz w:val="32"/>
          <w:szCs w:val="32"/>
        </w:rPr>
        <w:t>工作机构，深入细致开展工作。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（二）坚持齐抓共管。</w:t>
      </w:r>
      <w:r>
        <w:rPr>
          <w:rFonts w:hint="eastAsia" w:ascii="仿宋" w:hAnsi="仿宋" w:eastAsia="仿宋"/>
          <w:sz w:val="32"/>
          <w:szCs w:val="32"/>
        </w:rPr>
        <w:t>无证幼儿园</w:t>
      </w:r>
      <w:r>
        <w:rPr>
          <w:rFonts w:hint="eastAsia" w:ascii="仿宋" w:hAnsi="仿宋" w:eastAsia="仿宋"/>
          <w:sz w:val="32"/>
          <w:szCs w:val="32"/>
          <w:lang w:eastAsia="zh-CN"/>
        </w:rPr>
        <w:t>专项治理</w:t>
      </w:r>
      <w:r>
        <w:rPr>
          <w:rFonts w:hint="eastAsia" w:ascii="仿宋" w:hAnsi="仿宋" w:eastAsia="仿宋"/>
          <w:sz w:val="32"/>
          <w:szCs w:val="32"/>
        </w:rPr>
        <w:t>工作牵涉面广，工作任务重，各县区教育</w:t>
      </w:r>
      <w:r>
        <w:rPr>
          <w:rFonts w:hint="eastAsia" w:ascii="仿宋" w:hAnsi="仿宋" w:eastAsia="仿宋"/>
          <w:sz w:val="32"/>
          <w:szCs w:val="32"/>
          <w:lang w:eastAsia="zh-CN"/>
        </w:rPr>
        <w:t>主管部门</w:t>
      </w:r>
      <w:r>
        <w:rPr>
          <w:rFonts w:hint="eastAsia" w:ascii="仿宋" w:hAnsi="仿宋" w:eastAsia="仿宋"/>
          <w:sz w:val="32"/>
          <w:szCs w:val="32"/>
        </w:rPr>
        <w:t>要在当地政府领导下完善联合执法机制，</w:t>
      </w:r>
      <w:r>
        <w:rPr>
          <w:rFonts w:hint="eastAsia" w:ascii="仿宋" w:hAnsi="仿宋" w:eastAsia="仿宋"/>
          <w:sz w:val="32"/>
          <w:szCs w:val="32"/>
          <w:lang w:eastAsia="zh-CN"/>
        </w:rPr>
        <w:t>主动联合</w:t>
      </w:r>
      <w:r>
        <w:rPr>
          <w:rFonts w:hint="eastAsia" w:ascii="仿宋" w:hAnsi="仿宋" w:eastAsia="仿宋"/>
          <w:sz w:val="32"/>
          <w:szCs w:val="32"/>
        </w:rPr>
        <w:t>发改、公安、</w:t>
      </w:r>
      <w:r>
        <w:rPr>
          <w:rFonts w:hint="eastAsia" w:ascii="仿宋" w:hAnsi="仿宋" w:eastAsia="仿宋"/>
          <w:sz w:val="32"/>
          <w:szCs w:val="32"/>
          <w:lang w:eastAsia="zh-CN"/>
        </w:rPr>
        <w:t>应急管理</w:t>
      </w:r>
      <w:r>
        <w:rPr>
          <w:rFonts w:hint="eastAsia" w:ascii="仿宋" w:hAnsi="仿宋" w:eastAsia="仿宋"/>
          <w:sz w:val="32"/>
          <w:szCs w:val="32"/>
        </w:rPr>
        <w:t>、民政、卫</w:t>
      </w:r>
      <w:r>
        <w:rPr>
          <w:rFonts w:hint="eastAsia" w:ascii="仿宋" w:hAnsi="仿宋" w:eastAsia="仿宋"/>
          <w:sz w:val="32"/>
          <w:szCs w:val="32"/>
          <w:lang w:eastAsia="zh-CN"/>
        </w:rPr>
        <w:t>健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市场监管、</w:t>
      </w:r>
      <w:r>
        <w:rPr>
          <w:rFonts w:hint="eastAsia" w:ascii="仿宋" w:hAnsi="仿宋" w:eastAsia="仿宋"/>
          <w:sz w:val="32"/>
          <w:szCs w:val="32"/>
        </w:rPr>
        <w:t>建设、行政审批、城管等部门</w:t>
      </w:r>
      <w:r>
        <w:rPr>
          <w:rFonts w:hint="eastAsia" w:ascii="仿宋" w:hAnsi="仿宋" w:eastAsia="仿宋"/>
          <w:sz w:val="32"/>
          <w:szCs w:val="32"/>
          <w:lang w:eastAsia="zh-CN"/>
        </w:rPr>
        <w:t>成立联合工作组，</w:t>
      </w:r>
      <w:r>
        <w:rPr>
          <w:rFonts w:hint="eastAsia" w:ascii="仿宋" w:hAnsi="仿宋" w:eastAsia="仿宋"/>
          <w:sz w:val="32"/>
          <w:szCs w:val="32"/>
        </w:rPr>
        <w:t>齐抓共管，共同做好无证幼儿园的</w:t>
      </w:r>
      <w:r>
        <w:rPr>
          <w:rFonts w:hint="eastAsia" w:ascii="仿宋" w:hAnsi="仿宋" w:eastAsia="仿宋"/>
          <w:sz w:val="32"/>
          <w:szCs w:val="32"/>
          <w:lang w:eastAsia="zh-CN"/>
        </w:rPr>
        <w:t>专项治理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（三）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坚持分类治理。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各县区要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在对辖区无证幼儿园摸底排查的基础上，根据各无证幼儿园的具体情况，坚持疏堵结合、分类治理，按照“</w:t>
      </w:r>
      <w:r>
        <w:rPr>
          <w:rFonts w:hint="eastAsia" w:ascii="仿宋_GB2312" w:hAnsi="仿宋_GB2312" w:eastAsia="仿宋_GB2312" w:cs="仿宋_GB2312"/>
          <w:sz w:val="32"/>
          <w:szCs w:val="32"/>
        </w:rPr>
        <w:t>准入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一批、整改一批、取缔一批”的原则，对辖区内的无证幼儿园下达告知书，分类提出处置意见，明确整改意见和时限，并督促落实。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、工作步骤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（一）摸底排查阶段。</w:t>
      </w:r>
      <w:r>
        <w:rPr>
          <w:rFonts w:hint="eastAsia" w:ascii="仿宋" w:hAnsi="仿宋" w:eastAsia="仿宋"/>
          <w:sz w:val="32"/>
          <w:szCs w:val="32"/>
        </w:rPr>
        <w:t>(2019年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日前)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/>
          <w:sz w:val="32"/>
          <w:szCs w:val="32"/>
        </w:rPr>
        <w:t>对辖区内无证幼儿园进行拉网式排查，逐一摸清无证幼儿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  <w:t>园的情况，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lang w:eastAsia="zh-CN"/>
        </w:rPr>
        <w:t>全面查清无证园的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  <w:t>园舍、设施设备、卫生状况、收费情况、安全工作、师资力量、保教质量等方面存在的问题，提出整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lang w:eastAsia="zh-CN"/>
        </w:rPr>
        <w:t>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  <w:t>意见，建立工作台帐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  <w:t>确保一园不漏、全面覆盖、不走过场、不留死角</w:t>
      </w:r>
      <w:r>
        <w:rPr>
          <w:rFonts w:hint="default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要通过公开渠道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公布举报电话、电子邮箱和办公地点，接受群众举报。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b/>
          <w:sz w:val="32"/>
          <w:szCs w:val="32"/>
        </w:rPr>
        <w:t>分类整治阶段</w:t>
      </w:r>
      <w:r>
        <w:rPr>
          <w:rFonts w:hint="eastAsia" w:ascii="仿宋" w:hAnsi="仿宋" w:eastAsia="仿宋"/>
          <w:sz w:val="32"/>
          <w:szCs w:val="32"/>
        </w:rPr>
        <w:t>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日前）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eastAsia="zh-CN"/>
        </w:rPr>
        <w:t>在摸底排查中发现</w:t>
      </w:r>
      <w:r>
        <w:rPr>
          <w:rFonts w:ascii="仿宋" w:hAnsi="仿宋" w:eastAsia="仿宋"/>
          <w:sz w:val="32"/>
          <w:szCs w:val="32"/>
        </w:rPr>
        <w:t>的无证幼儿园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，要根据实际情况，分别</w:t>
      </w:r>
      <w:r>
        <w:rPr>
          <w:rFonts w:ascii="仿宋" w:hAnsi="仿宋" w:eastAsia="仿宋"/>
          <w:sz w:val="32"/>
          <w:szCs w:val="32"/>
        </w:rPr>
        <w:t>采取以下</w:t>
      </w:r>
      <w:r>
        <w:rPr>
          <w:rFonts w:hint="eastAsia" w:ascii="仿宋" w:hAnsi="仿宋" w:eastAsia="仿宋"/>
          <w:sz w:val="32"/>
          <w:szCs w:val="32"/>
          <w:lang w:eastAsia="zh-CN"/>
        </w:rPr>
        <w:t>几种</w:t>
      </w:r>
      <w:r>
        <w:rPr>
          <w:rFonts w:ascii="仿宋" w:hAnsi="仿宋" w:eastAsia="仿宋"/>
          <w:sz w:val="32"/>
          <w:szCs w:val="32"/>
        </w:rPr>
        <w:t>方式妥善处理：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对于无重大安全卫生隐患、教学条件和教师配备基本合格但存在一定问题的无证幼儿园，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各县区要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提出限期整改意见，下达整改通知书，整改合格后，可根据园所的具体情况，核发办园许可证。其中符合《江西省幼儿园基本办园条件标准》的，可以审批为标准的普惠性民办幼儿园。班额在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5个班以下的，可以根据《</w:t>
      </w:r>
      <w:r>
        <w:rPr>
          <w:rFonts w:hint="eastAsia" w:ascii="仿宋" w:hAnsi="仿宋" w:eastAsia="仿宋" w:cs="仿宋"/>
          <w:sz w:val="32"/>
          <w:szCs w:val="32"/>
        </w:rPr>
        <w:t>南昌市社区邻里中心微小型幼儿园准入标准和管理办法（试行）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》审批为微小型幼儿园。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若辖区内普惠性学前教育学位供给不足的，各县区应从增加学位供给的角度，对办园思想端正、办园行为规范的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无证幼儿园，在确保安全、卫生的前提下，通过各种方式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积极给予扶持，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指导、帮助、督促其按规定整改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到位，以此增加学前教育学位供给，满足群众入园需求。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对于因高收费而未获得办园许可证的小区配套幼儿园，各县区必须按照《南昌市城镇小区配套幼儿园专项治理工作实施方案》（洪府厅发〔2019〕82号）要求，限期将其回收办为公办园或转办为普惠性民办园。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以上无证幼儿园若整改到位，各县区要及时按类别将其纳入教育年报统计。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存在重大安全卫生隐患，不符合基本办园条件标准、不具备整改条件的，坚决予以取缔，并做好在园幼儿的分流安置工作。对可能出现的异常情况要有应对处置预案，确保取缔决定得以执行，避免出现新的影响社会稳定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同时，各县区要根据市委、市政府关于构建“1+5+X”社区邻里中心的工作部署和要求，按照国家标准建设幼儿园，加强网点建设，做好小区配套园治理工作。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城镇老旧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社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无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幼儿园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网点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、城镇小区配套园网点容量不足的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可以举办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微小型幼儿园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作为补充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方便幼儿就近入园，</w:t>
      </w:r>
      <w:r>
        <w:rPr>
          <w:rFonts w:hint="eastAsia" w:ascii="仿宋" w:hAnsi="仿宋" w:eastAsia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引导家长将幼儿送入正规幼儿园，从源头上杜绝无证幼儿园的出现。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（三）总结验收阶段</w:t>
      </w:r>
      <w:r>
        <w:rPr>
          <w:rFonts w:hint="eastAsia" w:ascii="仿宋" w:hAnsi="仿宋" w:eastAsia="仿宋"/>
          <w:sz w:val="32"/>
          <w:szCs w:val="32"/>
        </w:rPr>
        <w:t>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日前）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各县（区）教育主管部门要切实</w:t>
      </w:r>
      <w:r>
        <w:rPr>
          <w:rFonts w:hint="eastAsia" w:ascii="仿宋" w:hAnsi="仿宋" w:eastAsia="仿宋"/>
          <w:sz w:val="32"/>
          <w:szCs w:val="32"/>
          <w:lang w:eastAsia="zh-CN"/>
        </w:rPr>
        <w:t>担</w:t>
      </w:r>
      <w:r>
        <w:rPr>
          <w:rFonts w:hint="eastAsia" w:ascii="仿宋" w:hAnsi="仿宋" w:eastAsia="仿宋"/>
          <w:sz w:val="32"/>
          <w:szCs w:val="32"/>
        </w:rPr>
        <w:t>负起对幼儿园的监管责任，建立健全杜绝无证办园的长效监管机制，无证幼儿园一旦出现，立即查处，决不能任其存在。清理整顿工作结束后，各县区教育部门要认真总结经验，做好工作总结，并形成工作报告，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日前将工作报告和清理整顿无证幼儿园情况表（见附件）报市教育局</w:t>
      </w:r>
      <w:r>
        <w:rPr>
          <w:rFonts w:hint="eastAsia" w:ascii="仿宋" w:hAnsi="仿宋" w:eastAsia="仿宋"/>
          <w:sz w:val="32"/>
          <w:szCs w:val="32"/>
          <w:lang w:eastAsia="zh-CN"/>
        </w:rPr>
        <w:t>（义教处）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四、工作要求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（一）强化组织领导。</w:t>
      </w:r>
      <w:r>
        <w:rPr>
          <w:rFonts w:hint="eastAsia" w:ascii="仿宋" w:hAnsi="仿宋" w:eastAsia="仿宋"/>
          <w:sz w:val="32"/>
          <w:szCs w:val="32"/>
        </w:rPr>
        <w:t>无证幼儿园</w:t>
      </w:r>
      <w:r>
        <w:rPr>
          <w:rFonts w:hint="eastAsia" w:ascii="仿宋" w:hAnsi="仿宋" w:eastAsia="仿宋"/>
          <w:sz w:val="32"/>
          <w:szCs w:val="32"/>
          <w:lang w:eastAsia="zh-CN"/>
        </w:rPr>
        <w:t>专项治理</w:t>
      </w:r>
      <w:r>
        <w:rPr>
          <w:rFonts w:hint="eastAsia" w:ascii="仿宋" w:hAnsi="仿宋" w:eastAsia="仿宋"/>
          <w:sz w:val="32"/>
          <w:szCs w:val="32"/>
        </w:rPr>
        <w:t>工作时间紧、任务重、难度大，各县区要加强对</w:t>
      </w:r>
      <w:r>
        <w:rPr>
          <w:rFonts w:hint="eastAsia" w:ascii="仿宋" w:hAnsi="仿宋" w:eastAsia="仿宋"/>
          <w:sz w:val="32"/>
          <w:szCs w:val="32"/>
          <w:lang w:eastAsia="zh-CN"/>
        </w:rPr>
        <w:t>专项治理工作</w:t>
      </w:r>
      <w:r>
        <w:rPr>
          <w:rFonts w:hint="eastAsia" w:ascii="仿宋" w:hAnsi="仿宋" w:eastAsia="仿宋"/>
          <w:sz w:val="32"/>
          <w:szCs w:val="32"/>
        </w:rPr>
        <w:t>的组织领导。教育部门要充分发挥牵头作用，会同其他部门</w:t>
      </w:r>
      <w:r>
        <w:rPr>
          <w:rFonts w:hint="eastAsia" w:ascii="仿宋" w:hAnsi="仿宋" w:eastAsia="仿宋"/>
          <w:sz w:val="32"/>
          <w:szCs w:val="32"/>
          <w:lang w:eastAsia="zh-CN"/>
        </w:rPr>
        <w:t>共同</w:t>
      </w:r>
      <w:r>
        <w:rPr>
          <w:rFonts w:hint="eastAsia" w:ascii="仿宋" w:hAnsi="仿宋" w:eastAsia="仿宋"/>
          <w:sz w:val="32"/>
          <w:szCs w:val="32"/>
        </w:rPr>
        <w:t>抓好幼儿园日常规范和幼儿入园的管理工作。同时，应建立无证园</w:t>
      </w:r>
      <w:r>
        <w:rPr>
          <w:rFonts w:hint="eastAsia" w:ascii="仿宋" w:hAnsi="仿宋" w:eastAsia="仿宋"/>
          <w:sz w:val="32"/>
          <w:szCs w:val="32"/>
          <w:lang w:eastAsia="zh-CN"/>
        </w:rPr>
        <w:t>监管</w:t>
      </w:r>
      <w:r>
        <w:rPr>
          <w:rFonts w:hint="eastAsia" w:ascii="仿宋" w:hAnsi="仿宋" w:eastAsia="仿宋"/>
          <w:sz w:val="32"/>
          <w:szCs w:val="32"/>
        </w:rPr>
        <w:t>责任制，对疏于管理，造成严重后果的要依法依纪追究责任。 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（二）注重协调配合。</w:t>
      </w:r>
      <w:r>
        <w:rPr>
          <w:rFonts w:hint="eastAsia" w:ascii="仿宋" w:hAnsi="仿宋" w:eastAsia="仿宋"/>
          <w:sz w:val="32"/>
          <w:szCs w:val="32"/>
          <w:lang w:eastAsia="zh-CN"/>
        </w:rPr>
        <w:t>专项治理</w:t>
      </w:r>
      <w:r>
        <w:rPr>
          <w:rFonts w:hint="eastAsia" w:ascii="仿宋" w:hAnsi="仿宋" w:eastAsia="仿宋"/>
          <w:sz w:val="32"/>
          <w:szCs w:val="32"/>
        </w:rPr>
        <w:t>工作涉及的部门较多，各县（区）教育部门要加强与有关部门、单位的沟通，在</w:t>
      </w:r>
      <w:r>
        <w:rPr>
          <w:rFonts w:hint="eastAsia" w:ascii="仿宋" w:hAnsi="仿宋" w:eastAsia="仿宋"/>
          <w:sz w:val="32"/>
          <w:szCs w:val="32"/>
          <w:lang w:eastAsia="zh-CN"/>
        </w:rPr>
        <w:t>专项治理</w:t>
      </w:r>
      <w:r>
        <w:rPr>
          <w:rFonts w:hint="eastAsia" w:ascii="仿宋" w:hAnsi="仿宋" w:eastAsia="仿宋"/>
          <w:sz w:val="32"/>
          <w:szCs w:val="32"/>
        </w:rPr>
        <w:t xml:space="preserve">的各个环节，积极主动、充分有效履行自身职责，不回避、不观望、不推卸，有效推进清理整顿行动。 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（三）加大宣传力度。</w:t>
      </w:r>
      <w:r>
        <w:rPr>
          <w:rFonts w:hint="eastAsia" w:ascii="仿宋" w:hAnsi="仿宋" w:eastAsia="仿宋"/>
          <w:sz w:val="32"/>
          <w:szCs w:val="32"/>
        </w:rPr>
        <w:t>各县（区）教育部门要通过媒体、宣传栏等，广泛宣传无证幼儿园</w:t>
      </w:r>
      <w:r>
        <w:rPr>
          <w:rFonts w:hint="eastAsia" w:ascii="仿宋" w:hAnsi="仿宋" w:eastAsia="仿宋"/>
          <w:sz w:val="32"/>
          <w:szCs w:val="32"/>
          <w:lang w:eastAsia="zh-CN"/>
        </w:rPr>
        <w:t>治理工作</w:t>
      </w:r>
      <w:r>
        <w:rPr>
          <w:rFonts w:hint="eastAsia" w:ascii="仿宋" w:hAnsi="仿宋" w:eastAsia="仿宋"/>
          <w:sz w:val="32"/>
          <w:szCs w:val="32"/>
        </w:rPr>
        <w:t>对确保幼儿安全和学前教育质量的重要意义，同时统一于</w:t>
      </w:r>
      <w:r>
        <w:rPr>
          <w:rFonts w:hint="eastAsia" w:ascii="仿宋" w:hAnsi="仿宋" w:eastAsia="仿宋"/>
          <w:sz w:val="32"/>
          <w:szCs w:val="32"/>
          <w:lang w:eastAsia="zh-CN"/>
        </w:rPr>
        <w:t>每年</w:t>
      </w:r>
      <w:r>
        <w:rPr>
          <w:rFonts w:hint="eastAsia" w:ascii="仿宋" w:hAnsi="仿宋" w:eastAsia="仿宋"/>
          <w:sz w:val="32"/>
          <w:szCs w:val="32"/>
        </w:rPr>
        <w:t>7月</w:t>
      </w:r>
      <w:r>
        <w:rPr>
          <w:rFonts w:hint="eastAsia" w:ascii="仿宋" w:hAnsi="仿宋" w:eastAsia="仿宋"/>
          <w:sz w:val="32"/>
          <w:szCs w:val="32"/>
          <w:lang w:eastAsia="zh-CN"/>
        </w:rPr>
        <w:t>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之前</w:t>
      </w:r>
      <w:r>
        <w:rPr>
          <w:rFonts w:hint="eastAsia" w:ascii="仿宋" w:hAnsi="仿宋" w:eastAsia="仿宋"/>
          <w:sz w:val="32"/>
          <w:szCs w:val="32"/>
        </w:rPr>
        <w:t>，通过政府网站、教育网站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官方媒体公布辖区内</w:t>
      </w:r>
      <w:r>
        <w:rPr>
          <w:rFonts w:hint="eastAsia" w:ascii="仿宋" w:hAnsi="仿宋" w:eastAsia="仿宋"/>
          <w:sz w:val="32"/>
          <w:szCs w:val="32"/>
          <w:lang w:eastAsia="zh-CN"/>
        </w:rPr>
        <w:t>取得办园许可证的</w:t>
      </w:r>
      <w:r>
        <w:rPr>
          <w:rFonts w:hint="eastAsia" w:ascii="仿宋" w:hAnsi="仿宋" w:eastAsia="仿宋"/>
          <w:sz w:val="32"/>
          <w:szCs w:val="32"/>
        </w:rPr>
        <w:t>民办幼儿园白名单，引导家长选择有资质的幼儿园就读，为清理整顿工作营造良好氛围。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（四）认真总结经验。</w:t>
      </w:r>
      <w:r>
        <w:rPr>
          <w:rFonts w:hint="eastAsia" w:ascii="仿宋" w:hAnsi="仿宋" w:eastAsia="仿宋"/>
          <w:sz w:val="32"/>
          <w:szCs w:val="32"/>
        </w:rPr>
        <w:t>各县区要认真总结清理整顿无证幼儿园的工作，建立健全早发现、早干预以及热情服务、联合执法等工作机制，健全和完善教育行政部门内部管理制度，将无证幼儿园整治纳入日常管理重点，提高管理水平，严防反弹回潮，并形成长效机制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南昌市</w:t>
      </w:r>
      <w:r>
        <w:rPr>
          <w:rFonts w:hint="eastAsia" w:ascii="仿宋" w:hAnsi="仿宋" w:eastAsia="仿宋"/>
          <w:sz w:val="32"/>
          <w:szCs w:val="32"/>
        </w:rPr>
        <w:t>无证幼儿园基本情况统计表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/>
          <w:sz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南昌市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无证幼儿园基本情况统计表（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县、区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     填报人：      审核人：      填报日期：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170"/>
        <w:gridCol w:w="1140"/>
        <w:gridCol w:w="615"/>
        <w:gridCol w:w="705"/>
        <w:gridCol w:w="585"/>
        <w:gridCol w:w="675"/>
        <w:gridCol w:w="193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县（市、区）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幼儿园名称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具体地址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建筑面积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教职工数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班级数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在园幼儿数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未取得办园许可的原因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治理方式（准入、整改、取缔）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合计     所，其中：可准入       所，限期整改     所，取缔     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58C2"/>
    <w:rsid w:val="703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2019-12-02T07:57:00Z</dcterms:created>
  <dc:creator>Administrator</dc:creator>
  <cp:lastModifiedBy>Administrator</cp:lastModifiedBy>
  <dcterms:modified xsi:type="dcterms:W3CDTF">2019-12-02T08:21:22Z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