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洪教宣函</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heme="minorEastAsia" w:hAnsiTheme="minorEastAsia"/>
          <w:b/>
          <w:sz w:val="44"/>
          <w:szCs w:val="44"/>
        </w:rPr>
      </w:pPr>
      <w:bookmarkStart w:id="7" w:name="_GoBack"/>
      <w:r>
        <w:rPr>
          <w:rFonts w:hint="eastAsia" w:asciiTheme="minorEastAsia" w:hAnsiTheme="minorEastAsia"/>
          <w:b/>
          <w:sz w:val="44"/>
          <w:szCs w:val="44"/>
        </w:rPr>
        <w:t>南昌市教育局关于转发省教育厅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《关于印发&lt;江西省中小学教师培训学分管理办法（试行）&gt;的通知》的通知</w:t>
      </w:r>
    </w:p>
    <w:bookmarkEnd w:id="7"/>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rPr>
      </w:pPr>
      <w:r>
        <w:rPr>
          <w:rFonts w:hint="eastAsia" w:ascii="仿宋" w:hAnsi="仿宋" w:eastAsia="仿宋"/>
          <w:sz w:val="32"/>
          <w:szCs w:val="32"/>
        </w:rPr>
        <w:t>各县（区）教体局，开发区（新区）教办（中心），局属学校、省属事业单位办学校、市管民办学历教育学校，局属事业单位：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现将省教育厅《关于印发&lt;江西省中小学教师培训学分管理办法（试行）&gt;的通知》（赣教发〔2018〕2号）转发给你们，请认真贯彻执行。有关事项通知如下：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各县区、各学校（单位）要高度重视教师培训学分管理，严格按照《江西省中小学教师培训学分管理办法（试行）》的标准和要求，认真做好教师培训学分管理工作。要指定思想素质好，责任心强，熟悉培训工作的老师担任培训管理员，且保持相对稳定，确保教师培训学分登录、认定及管理工作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培训学分每5年为一周期，从2018-2019学年开始，周期内教师至少应获得36学分，且每年至少获得2学分，上不封顶。其中，统筹培训26分，由各级教育行政部门统筹安排，原则上学分可以互通；自主培训学分10分，由各学校具体组织实施。学历提升、竞赛获奖等多元提升活动获得的学分可冲抵任一层级培训学分，新教师培训不计入学分，教师退休前最后一个培训周期，对培训学分不作具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培训学分管理实行“谁承训、谁登记”，对应层级教育管理部门审核认定的方式进行。统筹培训学分由承训机构在培训结束后10个工作日内上传至“培训与学分管理平台”。自主培训学分的获得采用分级管理的模式，县区学校由各县区负责管理，局属学校、省属事业单位办学校、市管民办学历教育学校、局属事业单位由市教育局负责管理。各学校应在每年9月1日—15日向对应层级教育管理部门申报学年培训项目计划，教育管理部门视情对项目执行情况进行督查，由学校在学年结束后10个工作日内将培训项目及学分上传至“培训与学分管理平台”。冲抵学分采用教师凭证申报、学校初审汇总，由学校于每年8月1日前交对应层级教育管理部门审核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联系人：局宣传</w:t>
      </w:r>
      <w:r>
        <w:rPr>
          <w:rFonts w:ascii="仿宋" w:hAnsi="仿宋" w:eastAsia="仿宋"/>
          <w:sz w:val="32"/>
          <w:szCs w:val="32"/>
        </w:rPr>
        <w:t>教育处</w:t>
      </w:r>
      <w:r>
        <w:rPr>
          <w:rFonts w:hint="eastAsia" w:ascii="仿宋" w:hAnsi="仿宋" w:eastAsia="仿宋"/>
          <w:sz w:val="32"/>
          <w:szCs w:val="32"/>
        </w:rPr>
        <w:t>刘昆老师；联系电话：83986470；电子邮箱：29278119@qq.com。</w:t>
      </w:r>
    </w:p>
    <w:p>
      <w:pPr>
        <w:keepNext w:val="0"/>
        <w:keepLines w:val="0"/>
        <w:pageBreakBefore w:val="0"/>
        <w:widowControl w:val="0"/>
        <w:kinsoku/>
        <w:wordWrap/>
        <w:overflowPunct/>
        <w:topLinePunct w:val="0"/>
        <w:autoSpaceDE/>
        <w:autoSpaceDN/>
        <w:bidi w:val="0"/>
        <w:adjustRightInd/>
        <w:snapToGrid/>
        <w:spacing w:line="600" w:lineRule="exact"/>
        <w:ind w:left="1325" w:leftChars="250" w:hanging="800" w:hangingChars="25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325" w:leftChars="250" w:hanging="800" w:hangingChars="250"/>
        <w:textAlignment w:val="auto"/>
        <w:rPr>
          <w:rFonts w:ascii="仿宋" w:hAnsi="仿宋" w:eastAsia="仿宋"/>
          <w:sz w:val="32"/>
          <w:szCs w:val="32"/>
        </w:rPr>
      </w:pPr>
      <w:r>
        <w:rPr>
          <w:rFonts w:hint="eastAsia" w:ascii="仿宋" w:hAnsi="仿宋" w:eastAsia="仿宋"/>
          <w:sz w:val="32"/>
          <w:szCs w:val="32"/>
        </w:rPr>
        <w:t>附件：关于印发《江西省中小学教师培训学分管理办法(试行)》的通知(赣教发〔2018〕2号)</w:t>
      </w:r>
    </w:p>
    <w:p>
      <w:pPr>
        <w:keepNext w:val="0"/>
        <w:keepLines w:val="0"/>
        <w:pageBreakBefore w:val="0"/>
        <w:widowControl w:val="0"/>
        <w:kinsoku/>
        <w:wordWrap/>
        <w:overflowPunct/>
        <w:topLinePunct w:val="0"/>
        <w:autoSpaceDE/>
        <w:autoSpaceDN/>
        <w:bidi w:val="0"/>
        <w:adjustRightInd/>
        <w:snapToGrid/>
        <w:spacing w:line="600" w:lineRule="exact"/>
        <w:ind w:left="1325" w:leftChars="250" w:hanging="800" w:hangingChars="25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325" w:leftChars="250" w:hanging="800" w:hangingChars="250"/>
        <w:textAlignment w:val="auto"/>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54.25pt;margin-top:4.4pt;height:93.6pt;width:99.75pt;z-index:251675648;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4160" w:firstLineChars="1300"/>
        <w:textAlignment w:val="auto"/>
        <w:rPr>
          <w:rFonts w:ascii="仿宋" w:hAnsi="仿宋" w:eastAsia="仿宋"/>
          <w:sz w:val="32"/>
          <w:szCs w:val="32"/>
        </w:rPr>
      </w:pPr>
      <w:r>
        <w:rPr>
          <w:rFonts w:hint="eastAsia" w:ascii="仿宋" w:hAnsi="仿宋" w:eastAsia="仿宋"/>
          <w:sz w:val="32"/>
          <w:szCs w:val="32"/>
        </w:rPr>
        <w:t>南昌市</w:t>
      </w:r>
      <w:r>
        <w:rPr>
          <w:rFonts w:ascii="仿宋" w:hAnsi="仿宋" w:eastAsia="仿宋"/>
          <w:sz w:val="32"/>
          <w:szCs w:val="32"/>
        </w:rPr>
        <w:t>教育局</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r>
        <w:rPr>
          <w:rFonts w:hint="eastAsia" w:ascii="仿宋" w:hAnsi="仿宋" w:eastAsia="仿宋"/>
          <w:sz w:val="32"/>
          <w:szCs w:val="32"/>
        </w:rPr>
        <w:t>2019年4月30日</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3840" w:firstLineChars="1200"/>
        <w:textAlignment w:val="auto"/>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6</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1"/>
    <w:p>
      <w:pPr>
        <w:spacing w:before="1560" w:beforeLines="500"/>
        <w:jc w:val="center"/>
        <w:rPr>
          <w:rFonts w:ascii="方正小标宋简体" w:hAnsi="华文中宋" w:eastAsia="方正小标宋简体" w:cs="宋体"/>
          <w:color w:val="FF0000"/>
          <w:w w:val="90"/>
          <w:kern w:val="0"/>
          <w:sz w:val="90"/>
          <w:szCs w:val="90"/>
        </w:rPr>
      </w:pPr>
      <w:r>
        <w:rPr>
          <w:rFonts w:hint="eastAsia" w:ascii="方正小标宋简体" w:hAnsi="华文中宋" w:eastAsia="方正小标宋简体" w:cs="宋体"/>
          <w:color w:val="FF0000"/>
          <w:spacing w:val="69"/>
          <w:w w:val="98"/>
          <w:kern w:val="0"/>
          <w:sz w:val="90"/>
          <w:szCs w:val="90"/>
        </w:rPr>
        <w:t>江西省教育厅文</w:t>
      </w:r>
      <w:r>
        <w:rPr>
          <w:rFonts w:hint="eastAsia" w:ascii="方正小标宋简体" w:hAnsi="华文中宋" w:eastAsia="方正小标宋简体" w:cs="宋体"/>
          <w:color w:val="FF0000"/>
          <w:spacing w:val="1"/>
          <w:w w:val="98"/>
          <w:kern w:val="0"/>
          <w:sz w:val="90"/>
          <w:szCs w:val="90"/>
        </w:rPr>
        <w:t>件</w:t>
      </w:r>
    </w:p>
    <w:p>
      <w:pPr>
        <w:rPr>
          <w:rFonts w:hint="eastAsia" w:ascii="华文中宋" w:hAnsi="华文中宋" w:eastAsia="华文中宋" w:cs="宋体"/>
          <w:color w:val="000000"/>
          <w:kern w:val="0"/>
          <w:sz w:val="32"/>
          <w:szCs w:val="32"/>
        </w:rPr>
      </w:pPr>
    </w:p>
    <w:p>
      <w:pPr>
        <w:jc w:val="center"/>
        <w:rPr>
          <w:rFonts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赣教发〔2018〕2号</w:t>
      </w:r>
    </w:p>
    <w:p>
      <w:pPr>
        <w:spacing w:line="600" w:lineRule="exact"/>
        <w:jc w:val="center"/>
        <w:rPr>
          <w:rFonts w:ascii="华文中宋" w:hAnsi="华文中宋" w:eastAsia="华文中宋" w:cs="宋体"/>
          <w:color w:val="000000"/>
          <w:kern w:val="0"/>
          <w:sz w:val="32"/>
          <w:szCs w:val="32"/>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ge">
                  <wp:posOffset>2927985</wp:posOffset>
                </wp:positionV>
                <wp:extent cx="5618480" cy="0"/>
                <wp:effectExtent l="25400" t="19685" r="23495" b="2794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38100">
                          <a:solidFill>
                            <a:srgbClr val="FF0000"/>
                          </a:solidFill>
                          <a:round/>
                        </a:ln>
                      </wps:spPr>
                      <wps:bodyPr/>
                    </wps:wsp>
                  </a:graphicData>
                </a:graphic>
              </wp:anchor>
            </w:drawing>
          </mc:Choice>
          <mc:Fallback>
            <w:pict>
              <v:line id="_x0000_s1026" o:spid="_x0000_s1026" o:spt="20" style="position:absolute;left:0pt;margin-left:3.35pt;margin-top:230.55pt;height:0pt;width:442.4pt;mso-position-vertical-relative:page;z-index:251659264;mso-width-relative:page;mso-height-relative:page;" filled="f" stroked="t" coordsize="21600,21600" o:gfxdata="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BBTJ2gAAAAkBAAAPAAAAAAAAAAEAIAAAACIAAABk&#10;cnMvZG93bnJldi54bWxQSwECFAAUAAAACACHTuJABKoGNMsBAABdAwAADgAAAAAAAAABACAAAAAp&#10;AQAAZHJzL2Uyb0RvYy54bWxQSwUGAAAAAAYABgBZAQAAZg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黑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宋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关于印发《</w:t>
      </w:r>
      <w:r>
        <w:rPr>
          <w:rFonts w:hint="eastAsia" w:ascii="方正小标宋简体" w:hAnsi="宋体" w:eastAsia="方正小标宋简体" w:cs="宋体"/>
          <w:color w:val="000000"/>
          <w:kern w:val="0"/>
          <w:sz w:val="44"/>
          <w:szCs w:val="44"/>
        </w:rPr>
        <w:t>江西省中小学教师培训学分</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黑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管理办法(试行)</w:t>
      </w:r>
      <w:r>
        <w:rPr>
          <w:rFonts w:hint="eastAsia" w:ascii="方正小标宋简体" w:hAnsi="黑体" w:eastAsia="方正小标宋简体" w:cs="宋体"/>
          <w:color w:val="000000"/>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黑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各市、县（区）教育局、有关单位：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宋体"/>
          <w:color w:val="000000"/>
          <w:kern w:val="0"/>
          <w:sz w:val="32"/>
          <w:szCs w:val="32"/>
        </w:rPr>
      </w:pPr>
      <w:r>
        <w:rPr>
          <w:rFonts w:hint="eastAsia" w:ascii="仿宋_GB2312" w:hAnsi="仿宋" w:eastAsia="仿宋_GB2312" w:cs="仿宋"/>
          <w:color w:val="000000"/>
          <w:sz w:val="32"/>
          <w:szCs w:val="32"/>
        </w:rPr>
        <w:t>为进一步提高全省中小学教师培训的针对性和实效性，规范中小学教师培训学分管理，推进教师培训规范化、制度化建设，根据《教育部关于大力推行中小学教师培训学分管理的指导意见》（教师〔2016〕12号）精神，结合我省实际，由省教育厅组织起草了《江西省中小学教师培训学分管理办法》，</w:t>
      </w:r>
      <w:r>
        <w:rPr>
          <w:rFonts w:hint="eastAsia" w:ascii="仿宋_GB2312" w:hAnsi="黑体" w:eastAsia="仿宋_GB2312" w:cs="宋体"/>
          <w:color w:val="000000"/>
          <w:kern w:val="0"/>
          <w:sz w:val="32"/>
          <w:szCs w:val="32"/>
        </w:rPr>
        <w:t>现印发给你们，请认真组织所辖县（市、区）及学校实施。执行过程中有何问题和建议请及时反馈至省教育厅师资处。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 xml:space="preserve">联系人：梁海军；联系电话：0791-86765178；传真：0791-86765185。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黑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黑体" w:eastAsia="仿宋_GB2312" w:cs="宋体"/>
          <w:color w:val="000000"/>
          <w:kern w:val="0"/>
          <w:sz w:val="32"/>
          <w:szCs w:val="32"/>
        </w:rPr>
        <w:t>附件：</w:t>
      </w:r>
      <w:r>
        <w:rPr>
          <w:rFonts w:hint="eastAsia" w:ascii="仿宋_GB2312" w:hAnsi="宋体" w:eastAsia="仿宋_GB2312" w:cs="宋体"/>
          <w:color w:val="000000"/>
          <w:kern w:val="0"/>
          <w:sz w:val="32"/>
          <w:szCs w:val="32"/>
        </w:rPr>
        <w:t>江西省中小学教师培训学分管理办法（试行）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江西省教育厅</w:t>
      </w:r>
    </w:p>
    <w:p>
      <w:pPr>
        <w:keepNext w:val="0"/>
        <w:keepLines w:val="0"/>
        <w:pageBreakBefore w:val="0"/>
        <w:widowControl w:val="0"/>
        <w:kinsoku/>
        <w:wordWrap/>
        <w:overflowPunct/>
        <w:topLinePunct w:val="0"/>
        <w:autoSpaceDE/>
        <w:autoSpaceDN/>
        <w:bidi w:val="0"/>
        <w:adjustRightInd/>
        <w:snapToGrid/>
        <w:spacing w:line="500" w:lineRule="exact"/>
        <w:ind w:firstLine="5280" w:firstLineChars="1650"/>
        <w:textAlignment w:val="auto"/>
        <w:rPr>
          <w:rFonts w:hint="eastAsia" w:ascii="仿宋_GB2312" w:eastAsia="仿宋_GB2312"/>
          <w:color w:val="000000"/>
        </w:rPr>
      </w:pPr>
      <w:r>
        <w:rPr>
          <w:rFonts w:hint="eastAsia" w:ascii="仿宋_GB2312" w:hAnsi="宋体" w:eastAsia="仿宋_GB2312" w:cs="宋体"/>
          <w:color w:val="000000"/>
          <w:kern w:val="0"/>
          <w:sz w:val="32"/>
          <w:szCs w:val="32"/>
        </w:rPr>
        <w:t>2018年1月5日</w:t>
      </w:r>
    </w:p>
    <w:p>
      <w:pPr>
        <w:widowControl/>
        <w:jc w:val="left"/>
        <w:rPr>
          <w:rFonts w:hint="eastAsia" w:ascii="黑体" w:hAnsi="黑体" w:eastAsia="黑体" w:cs="黑体"/>
          <w:bCs/>
          <w:color w:val="000000"/>
          <w:sz w:val="32"/>
          <w:szCs w:val="32"/>
        </w:rPr>
      </w:pPr>
      <w:r>
        <w:rPr>
          <w:rFonts w:ascii="仿宋" w:hAnsi="仿宋" w:eastAsia="仿宋" w:cs="仿宋"/>
          <w:color w:val="000000"/>
          <w:sz w:val="24"/>
        </w:rPr>
        <w:br w:type="page"/>
      </w:r>
      <w:r>
        <w:rPr>
          <w:rFonts w:hint="eastAsia" w:ascii="黑体" w:hAnsi="黑体" w:eastAsia="黑体" w:cs="黑体"/>
          <w:bCs/>
          <w:color w:val="000000"/>
          <w:sz w:val="32"/>
          <w:szCs w:val="32"/>
        </w:rPr>
        <w:t>附件</w:t>
      </w:r>
    </w:p>
    <w:p>
      <w:pPr>
        <w:spacing w:line="580" w:lineRule="exact"/>
        <w:jc w:val="center"/>
        <w:rPr>
          <w:rFonts w:hint="eastAsia" w:ascii="方正小标宋简体" w:hAnsi="黑体" w:eastAsia="方正小标宋简体" w:cs="黑体"/>
          <w:bCs/>
          <w:color w:val="000000"/>
          <w:sz w:val="36"/>
          <w:szCs w:val="36"/>
        </w:rPr>
      </w:pPr>
    </w:p>
    <w:p>
      <w:pPr>
        <w:spacing w:line="580" w:lineRule="exact"/>
        <w:jc w:val="center"/>
        <w:rPr>
          <w:rFonts w:ascii="方正小标宋简体" w:hAnsi="黑体" w:eastAsia="方正小标宋简体" w:cs="黑体"/>
          <w:bCs/>
          <w:color w:val="000000"/>
          <w:sz w:val="44"/>
          <w:szCs w:val="36"/>
        </w:rPr>
      </w:pPr>
      <w:r>
        <w:rPr>
          <w:rFonts w:hint="eastAsia" w:ascii="方正小标宋简体" w:hAnsi="黑体" w:eastAsia="方正小标宋简体" w:cs="黑体"/>
          <w:bCs/>
          <w:color w:val="000000"/>
          <w:sz w:val="44"/>
          <w:szCs w:val="36"/>
        </w:rPr>
        <w:t>江西省中小学教师培训学分管理办法</w:t>
      </w:r>
    </w:p>
    <w:p>
      <w:pPr>
        <w:spacing w:line="580" w:lineRule="exact"/>
        <w:jc w:val="center"/>
        <w:rPr>
          <w:rFonts w:hint="eastAsia" w:ascii="楷体_GB2312" w:hAnsi="黑体" w:eastAsia="楷体_GB2312" w:cs="黑体"/>
          <w:bCs/>
          <w:color w:val="000000"/>
          <w:sz w:val="32"/>
          <w:szCs w:val="32"/>
        </w:rPr>
      </w:pPr>
      <w:r>
        <w:rPr>
          <w:rFonts w:hint="eastAsia" w:ascii="楷体_GB2312" w:hAnsi="黑体" w:eastAsia="楷体_GB2312" w:cs="黑体"/>
          <w:bCs/>
          <w:color w:val="000000"/>
          <w:sz w:val="32"/>
          <w:szCs w:val="32"/>
        </w:rPr>
        <w:t>(试 行)</w:t>
      </w:r>
    </w:p>
    <w:p>
      <w:pPr>
        <w:spacing w:line="580" w:lineRule="exact"/>
        <w:jc w:val="center"/>
        <w:rPr>
          <w:rFonts w:ascii="仿宋" w:hAnsi="仿宋" w:eastAsia="仿宋"/>
          <w:color w:val="000000"/>
          <w:sz w:val="36"/>
          <w:szCs w:val="36"/>
        </w:rPr>
      </w:pP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cs="仿宋"/>
          <w:sz w:val="32"/>
          <w:szCs w:val="32"/>
        </w:rPr>
        <w:t>为进一步提高全省中小学教师职后培训的针对性和实效性，推进本省教师职后培训的规范化、制度化建设，完善五年一周期教师全员培训制度，根据《教育部关于大力推行中小学教师培训学分管理的指导意见》（教师</w:t>
      </w:r>
      <w:r>
        <w:rPr>
          <w:rFonts w:hint="eastAsia" w:ascii="仿宋_GB2312" w:hAnsi="宋体" w:eastAsia="仿宋_GB2312"/>
          <w:sz w:val="32"/>
          <w:szCs w:val="32"/>
        </w:rPr>
        <w:t>〔2016〕</w:t>
      </w:r>
      <w:r>
        <w:rPr>
          <w:rFonts w:hint="eastAsia" w:ascii="仿宋_GB2312" w:hAnsi="宋体" w:eastAsia="仿宋_GB2312" w:cs="仿宋"/>
          <w:sz w:val="32"/>
          <w:szCs w:val="32"/>
        </w:rPr>
        <w:t>12号）精神，结合本省实际，制定本办法。</w:t>
      </w:r>
    </w:p>
    <w:p>
      <w:pPr>
        <w:spacing w:line="580" w:lineRule="exact"/>
        <w:jc w:val="center"/>
        <w:rPr>
          <w:rFonts w:hint="eastAsia" w:ascii="黑体" w:hAnsi="黑体" w:eastAsia="黑体"/>
          <w:sz w:val="32"/>
          <w:szCs w:val="32"/>
        </w:rPr>
      </w:pPr>
      <w:bookmarkStart w:id="2" w:name="_Toc482566679"/>
      <w:r>
        <w:rPr>
          <w:rFonts w:hint="eastAsia" w:ascii="黑体" w:hAnsi="黑体" w:eastAsia="黑体" w:cs="黑体"/>
          <w:sz w:val="32"/>
          <w:szCs w:val="32"/>
        </w:rPr>
        <w:t>第一章  总  则</w:t>
      </w:r>
      <w:bookmarkEnd w:id="2"/>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第一条  </w:t>
      </w:r>
      <w:r>
        <w:rPr>
          <w:rFonts w:hint="eastAsia" w:ascii="仿宋_GB2312" w:hAnsi="宋体" w:eastAsia="仿宋_GB2312" w:cs="仿宋"/>
          <w:sz w:val="32"/>
          <w:szCs w:val="32"/>
        </w:rPr>
        <w:t>本办法适用于江西省内由国家和社会力量举办的中小学（幼儿园）在岗教师的职后培训工作。以下统称“中小学教师”。</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第二条  </w:t>
      </w:r>
      <w:r>
        <w:rPr>
          <w:rFonts w:hint="eastAsia" w:ascii="仿宋_GB2312" w:hAnsi="宋体" w:eastAsia="仿宋_GB2312" w:cs="仿宋"/>
          <w:sz w:val="32"/>
          <w:szCs w:val="32"/>
        </w:rPr>
        <w:t>全省中小学教师培训学分管理实行“统一管理与分级负责结合、统筹培训与自主培训兼容、培训为主与多元提升兼顾”的管理原则，着力构建“省级统筹、分级管理、学校落实、教师参与”的管理机制。</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第三条  </w:t>
      </w:r>
      <w:r>
        <w:rPr>
          <w:rFonts w:hint="eastAsia" w:ascii="仿宋_GB2312" w:hAnsi="宋体" w:eastAsia="仿宋_GB2312" w:cs="仿宋"/>
          <w:sz w:val="32"/>
          <w:szCs w:val="32"/>
        </w:rPr>
        <w:t>全省中小学教师参加的所有培训项目均实行学分管理。具体涵盖三级两类培训。三级指国家级和省级培训、设区市和县（区、市）级培训以及校本级培训。两类培训，一是统筹培训，即：各级教育行政部门按年度培训计划统筹安排的各类培训项目；二是自主培训，即：各中小学校（幼儿园）（含学校发展共同体，下同）根据自身教师队伍发展的状况和需要，自主组织实施的校本级培训（含校本教研）。</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第四条  </w:t>
      </w:r>
      <w:r>
        <w:rPr>
          <w:rFonts w:hint="eastAsia" w:ascii="仿宋_GB2312" w:hAnsi="宋体" w:eastAsia="仿宋_GB2312" w:cs="仿宋"/>
          <w:sz w:val="32"/>
          <w:szCs w:val="32"/>
        </w:rPr>
        <w:t>全省中小学教师可通过参加统筹培训项目（不含试用期内的新教师培训）及学校自主组织的培训项目获得相应学分；也可通过参加多元提升活动冲抵相应学分。多元提升活动包括：学历提升、各级教育行政部门组织开展的各类专业竞赛获奖、承担师范类学生职前培养或教师职后培训任务等。</w:t>
      </w:r>
    </w:p>
    <w:p>
      <w:pPr>
        <w:spacing w:line="580" w:lineRule="exact"/>
        <w:jc w:val="center"/>
        <w:rPr>
          <w:rFonts w:hint="eastAsia" w:ascii="黑体" w:hAnsi="黑体" w:eastAsia="黑体" w:cs="仿宋"/>
          <w:sz w:val="32"/>
          <w:szCs w:val="32"/>
        </w:rPr>
      </w:pPr>
      <w:bookmarkStart w:id="3" w:name="_Toc482566681"/>
      <w:r>
        <w:rPr>
          <w:rFonts w:hint="eastAsia" w:ascii="黑体" w:hAnsi="黑体" w:eastAsia="黑体" w:cs="仿宋"/>
          <w:sz w:val="32"/>
          <w:szCs w:val="32"/>
        </w:rPr>
        <w:t>第二章  学分构成与计算</w:t>
      </w:r>
      <w:bookmarkEnd w:id="3"/>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第五条  </w:t>
      </w:r>
      <w:r>
        <w:rPr>
          <w:rFonts w:hint="eastAsia" w:ascii="仿宋_GB2312" w:hAnsi="宋体" w:eastAsia="仿宋_GB2312" w:cs="仿宋"/>
          <w:sz w:val="32"/>
          <w:szCs w:val="32"/>
        </w:rPr>
        <w:t>全省中小学教师职后培训每5年为一个周期。在一个培训周期内，教师需至少累计获得36学分且每年至少获得</w:t>
      </w:r>
      <w:r>
        <w:rPr>
          <w:rFonts w:ascii="仿宋_GB2312" w:hAnsi="宋体" w:eastAsia="仿宋_GB2312" w:cs="仿宋"/>
          <w:sz w:val="32"/>
          <w:szCs w:val="32"/>
        </w:rPr>
        <w:t>2</w:t>
      </w:r>
      <w:r>
        <w:rPr>
          <w:rFonts w:hint="eastAsia" w:ascii="仿宋_GB2312" w:hAnsi="宋体" w:eastAsia="仿宋_GB2312" w:cs="仿宋"/>
          <w:sz w:val="32"/>
          <w:szCs w:val="32"/>
        </w:rPr>
        <w:t>学分。退休前最后一个培训周期，对培训学分不作要求。</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第六条  </w:t>
      </w:r>
      <w:r>
        <w:rPr>
          <w:rFonts w:hint="eastAsia" w:ascii="仿宋_GB2312" w:hAnsi="宋体" w:eastAsia="仿宋_GB2312" w:cs="仿宋"/>
          <w:sz w:val="32"/>
          <w:szCs w:val="32"/>
        </w:rPr>
        <w:t>为充分调动广大教师的参训热情，满足培训的层次化和多元化要求，在一个培训周期内，教师需分级分类按比例获得相应学分。</w:t>
      </w:r>
    </w:p>
    <w:p>
      <w:pPr>
        <w:spacing w:line="58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（一）统筹培训，计2</w:t>
      </w:r>
      <w:r>
        <w:rPr>
          <w:rFonts w:ascii="仿宋_GB2312" w:hAnsi="宋体" w:eastAsia="仿宋_GB2312" w:cs="仿宋"/>
          <w:sz w:val="32"/>
          <w:szCs w:val="32"/>
        </w:rPr>
        <w:t>6</w:t>
      </w:r>
      <w:r>
        <w:rPr>
          <w:rFonts w:hint="eastAsia" w:ascii="仿宋_GB2312" w:hAnsi="宋体" w:eastAsia="仿宋_GB2312" w:cs="仿宋"/>
          <w:sz w:val="32"/>
          <w:szCs w:val="32"/>
        </w:rPr>
        <w:t>分。在一个培训周期内，全员培训、国培计划或省培计划网络研修培训以及信息技术应用能力提升工程等合并固定计15分。中小学教师应在一个培训周期内至少分别参加一次省级及以上、设区市和县（区、市）级这两个层级的统筹培训，并累计获得不少于1</w:t>
      </w:r>
      <w:r>
        <w:rPr>
          <w:rFonts w:ascii="仿宋_GB2312" w:hAnsi="宋体" w:eastAsia="仿宋_GB2312" w:cs="仿宋"/>
          <w:sz w:val="32"/>
          <w:szCs w:val="32"/>
        </w:rPr>
        <w:t>1</w:t>
      </w:r>
      <w:r>
        <w:rPr>
          <w:rFonts w:hint="eastAsia" w:ascii="仿宋_GB2312" w:hAnsi="宋体" w:eastAsia="仿宋_GB2312" w:cs="仿宋"/>
          <w:sz w:val="32"/>
          <w:szCs w:val="32"/>
        </w:rPr>
        <w:t>个学分。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（二）自主培训，计</w:t>
      </w:r>
      <w:r>
        <w:rPr>
          <w:rFonts w:ascii="仿宋_GB2312" w:hAnsi="宋体" w:eastAsia="仿宋_GB2312" w:cs="仿宋"/>
          <w:sz w:val="32"/>
          <w:szCs w:val="32"/>
        </w:rPr>
        <w:t>10</w:t>
      </w:r>
      <w:r>
        <w:rPr>
          <w:rFonts w:hint="eastAsia" w:ascii="仿宋_GB2312" w:hAnsi="宋体" w:eastAsia="仿宋_GB2312" w:cs="仿宋"/>
          <w:sz w:val="32"/>
          <w:szCs w:val="32"/>
        </w:rPr>
        <w:t>分。在一个培训周期内，中小学教师应参加由学校（幼儿园）自主组织并实施的培训并获得不少于</w:t>
      </w:r>
      <w:r>
        <w:rPr>
          <w:rFonts w:ascii="仿宋_GB2312" w:hAnsi="宋体" w:eastAsia="仿宋_GB2312" w:cs="仿宋"/>
          <w:sz w:val="32"/>
          <w:szCs w:val="32"/>
        </w:rPr>
        <w:t>10</w:t>
      </w:r>
      <w:r>
        <w:rPr>
          <w:rFonts w:hint="eastAsia" w:ascii="仿宋_GB2312" w:hAnsi="宋体" w:eastAsia="仿宋_GB2312" w:cs="仿宋"/>
          <w:sz w:val="32"/>
          <w:szCs w:val="32"/>
        </w:rPr>
        <w:t>个学分。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中</w:t>
      </w:r>
      <w:r>
        <w:rPr>
          <w:rFonts w:hint="eastAsia" w:ascii="仿宋_GB2312" w:hAnsi="宋体" w:eastAsia="仿宋_GB2312" w:cs="仿宋"/>
          <w:spacing w:val="-6"/>
          <w:sz w:val="32"/>
          <w:szCs w:val="32"/>
        </w:rPr>
        <w:t>小学教师在一个培训周期内所获培训学分具体构成见表1。</w:t>
      </w:r>
    </w:p>
    <w:p>
      <w:pPr>
        <w:spacing w:line="580" w:lineRule="exact"/>
        <w:jc w:val="center"/>
        <w:rPr>
          <w:rFonts w:hint="eastAsia" w:ascii="仿宋_GB2312" w:hAnsi="宋体" w:eastAsia="仿宋_GB2312"/>
          <w:b/>
          <w:bCs/>
          <w:sz w:val="32"/>
          <w:szCs w:val="32"/>
        </w:rPr>
      </w:pPr>
      <w:r>
        <w:rPr>
          <w:rFonts w:hint="eastAsia" w:ascii="仿宋_GB2312" w:hAnsi="宋体" w:eastAsia="仿宋_GB2312" w:cs="仿宋"/>
          <w:b/>
          <w:bCs/>
          <w:sz w:val="32"/>
          <w:szCs w:val="32"/>
        </w:rPr>
        <w:t>表1  中小学教师单位周期内培训学分构成表</w:t>
      </w:r>
    </w:p>
    <w:tbl>
      <w:tblPr>
        <w:tblStyle w:val="7"/>
        <w:tblW w:w="8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2693"/>
        <w:gridCol w:w="913"/>
        <w:gridCol w:w="1440"/>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Align w:val="center"/>
          </w:tcPr>
          <w:p>
            <w:pPr>
              <w:snapToGrid w:val="0"/>
              <w:spacing w:line="320" w:lineRule="exact"/>
              <w:jc w:val="center"/>
              <w:rPr>
                <w:rFonts w:hint="eastAsia" w:ascii="黑体" w:hAnsi="黑体" w:eastAsia="黑体" w:cs="仿宋"/>
                <w:sz w:val="28"/>
                <w:szCs w:val="28"/>
              </w:rPr>
            </w:pPr>
            <w:r>
              <w:rPr>
                <w:rFonts w:hint="eastAsia" w:ascii="黑体" w:hAnsi="黑体" w:eastAsia="黑体" w:cs="仿宋"/>
                <w:sz w:val="28"/>
                <w:szCs w:val="28"/>
              </w:rPr>
              <w:t>培训</w:t>
            </w:r>
          </w:p>
          <w:p>
            <w:pPr>
              <w:snapToGrid w:val="0"/>
              <w:spacing w:line="320" w:lineRule="exact"/>
              <w:jc w:val="center"/>
              <w:rPr>
                <w:rFonts w:hint="eastAsia" w:ascii="黑体" w:hAnsi="黑体" w:eastAsia="黑体"/>
                <w:sz w:val="28"/>
                <w:szCs w:val="28"/>
              </w:rPr>
            </w:pPr>
            <w:r>
              <w:rPr>
                <w:rFonts w:hint="eastAsia" w:ascii="黑体" w:hAnsi="黑体" w:eastAsia="黑体" w:cs="仿宋"/>
                <w:sz w:val="28"/>
                <w:szCs w:val="28"/>
              </w:rPr>
              <w:t>类型</w:t>
            </w:r>
          </w:p>
        </w:tc>
        <w:tc>
          <w:tcPr>
            <w:tcW w:w="2693" w:type="dxa"/>
            <w:vAlign w:val="center"/>
          </w:tcPr>
          <w:p>
            <w:pPr>
              <w:snapToGrid w:val="0"/>
              <w:spacing w:line="320" w:lineRule="exact"/>
              <w:jc w:val="center"/>
              <w:rPr>
                <w:rFonts w:hint="eastAsia" w:ascii="黑体" w:hAnsi="黑体" w:eastAsia="黑体"/>
                <w:sz w:val="28"/>
                <w:szCs w:val="28"/>
              </w:rPr>
            </w:pPr>
            <w:r>
              <w:rPr>
                <w:rFonts w:hint="eastAsia" w:ascii="黑体" w:hAnsi="黑体" w:eastAsia="黑体" w:cs="仿宋"/>
                <w:sz w:val="28"/>
                <w:szCs w:val="28"/>
              </w:rPr>
              <w:t>承训级别</w:t>
            </w:r>
          </w:p>
        </w:tc>
        <w:tc>
          <w:tcPr>
            <w:tcW w:w="913" w:type="dxa"/>
            <w:vAlign w:val="center"/>
          </w:tcPr>
          <w:p>
            <w:pPr>
              <w:snapToGrid w:val="0"/>
              <w:spacing w:line="320" w:lineRule="exact"/>
              <w:jc w:val="center"/>
              <w:rPr>
                <w:rFonts w:hint="eastAsia" w:ascii="黑体" w:hAnsi="黑体" w:eastAsia="黑体" w:cs="仿宋"/>
                <w:sz w:val="28"/>
                <w:szCs w:val="28"/>
              </w:rPr>
            </w:pPr>
            <w:r>
              <w:rPr>
                <w:rFonts w:hint="eastAsia" w:ascii="黑体" w:hAnsi="黑体" w:eastAsia="黑体" w:cs="仿宋"/>
                <w:sz w:val="28"/>
                <w:szCs w:val="28"/>
              </w:rPr>
              <w:t>类型</w:t>
            </w:r>
          </w:p>
          <w:p>
            <w:pPr>
              <w:snapToGrid w:val="0"/>
              <w:spacing w:line="320" w:lineRule="exact"/>
              <w:jc w:val="center"/>
              <w:rPr>
                <w:rFonts w:hint="eastAsia" w:ascii="黑体" w:hAnsi="黑体" w:eastAsia="黑体"/>
                <w:sz w:val="28"/>
                <w:szCs w:val="28"/>
              </w:rPr>
            </w:pPr>
            <w:r>
              <w:rPr>
                <w:rFonts w:hint="eastAsia" w:ascii="黑体" w:hAnsi="黑体" w:eastAsia="黑体" w:cs="仿宋"/>
                <w:sz w:val="28"/>
                <w:szCs w:val="28"/>
              </w:rPr>
              <w:t>学分</w:t>
            </w:r>
          </w:p>
        </w:tc>
        <w:tc>
          <w:tcPr>
            <w:tcW w:w="1440" w:type="dxa"/>
            <w:vAlign w:val="center"/>
          </w:tcPr>
          <w:p>
            <w:pPr>
              <w:snapToGrid w:val="0"/>
              <w:spacing w:line="320" w:lineRule="exact"/>
              <w:jc w:val="center"/>
              <w:rPr>
                <w:rFonts w:hint="eastAsia" w:ascii="黑体" w:hAnsi="黑体" w:eastAsia="黑体"/>
                <w:sz w:val="28"/>
                <w:szCs w:val="28"/>
              </w:rPr>
            </w:pPr>
            <w:r>
              <w:rPr>
                <w:rFonts w:hint="eastAsia" w:ascii="黑体" w:hAnsi="黑体" w:eastAsia="黑体" w:cs="仿宋"/>
                <w:sz w:val="28"/>
                <w:szCs w:val="28"/>
              </w:rPr>
              <w:t>层级</w:t>
            </w:r>
          </w:p>
          <w:p>
            <w:pPr>
              <w:snapToGrid w:val="0"/>
              <w:spacing w:line="320" w:lineRule="exact"/>
              <w:jc w:val="center"/>
              <w:rPr>
                <w:rFonts w:hint="eastAsia" w:ascii="黑体" w:hAnsi="黑体" w:eastAsia="黑体"/>
                <w:sz w:val="28"/>
                <w:szCs w:val="28"/>
              </w:rPr>
            </w:pPr>
            <w:r>
              <w:rPr>
                <w:rFonts w:hint="eastAsia" w:ascii="黑体" w:hAnsi="黑体" w:eastAsia="黑体" w:cs="仿宋"/>
                <w:sz w:val="28"/>
                <w:szCs w:val="28"/>
              </w:rPr>
              <w:t>学分</w:t>
            </w:r>
          </w:p>
        </w:tc>
        <w:tc>
          <w:tcPr>
            <w:tcW w:w="2589" w:type="dxa"/>
            <w:vAlign w:val="center"/>
          </w:tcPr>
          <w:p>
            <w:pPr>
              <w:snapToGrid w:val="0"/>
              <w:spacing w:line="320" w:lineRule="exact"/>
              <w:ind w:firstLine="560" w:firstLineChars="200"/>
              <w:rPr>
                <w:rFonts w:hint="eastAsia" w:ascii="黑体" w:hAnsi="黑体" w:eastAsia="黑体"/>
                <w:sz w:val="28"/>
                <w:szCs w:val="28"/>
              </w:rPr>
            </w:pPr>
            <w:r>
              <w:rPr>
                <w:rFonts w:hint="eastAsia" w:ascii="黑体" w:hAnsi="黑体" w:eastAsia="黑体" w:cs="仿宋"/>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restart"/>
            <w:vAlign w:val="center"/>
          </w:tcPr>
          <w:p>
            <w:pPr>
              <w:snapToGrid w:val="0"/>
              <w:spacing w:line="32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统筹</w:t>
            </w:r>
          </w:p>
          <w:p>
            <w:pPr>
              <w:snapToGrid w:val="0"/>
              <w:spacing w:line="320" w:lineRule="exact"/>
              <w:jc w:val="center"/>
              <w:rPr>
                <w:rFonts w:hint="eastAsia" w:ascii="仿宋_GB2312" w:hAnsi="仿宋" w:eastAsia="仿宋_GB2312"/>
                <w:sz w:val="28"/>
                <w:szCs w:val="28"/>
              </w:rPr>
            </w:pPr>
            <w:r>
              <w:rPr>
                <w:rFonts w:hint="eastAsia" w:ascii="仿宋_GB2312" w:hAnsi="仿宋" w:eastAsia="仿宋_GB2312" w:cs="仿宋"/>
                <w:b/>
                <w:sz w:val="28"/>
                <w:szCs w:val="28"/>
              </w:rPr>
              <w:t>培训</w:t>
            </w:r>
          </w:p>
        </w:tc>
        <w:tc>
          <w:tcPr>
            <w:tcW w:w="2693" w:type="dxa"/>
            <w:vAlign w:val="center"/>
          </w:tcPr>
          <w:p>
            <w:pPr>
              <w:snapToGrid w:val="0"/>
              <w:spacing w:line="320" w:lineRule="exact"/>
              <w:ind w:firstLine="560" w:firstLineChars="200"/>
              <w:rPr>
                <w:rFonts w:hint="eastAsia" w:ascii="仿宋_GB2312" w:hAnsi="仿宋" w:eastAsia="仿宋_GB2312"/>
                <w:sz w:val="28"/>
                <w:szCs w:val="28"/>
              </w:rPr>
            </w:pPr>
          </w:p>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省级及以上培训机构</w:t>
            </w:r>
          </w:p>
        </w:tc>
        <w:tc>
          <w:tcPr>
            <w:tcW w:w="913" w:type="dxa"/>
            <w:vMerge w:val="restart"/>
            <w:vAlign w:val="center"/>
          </w:tcPr>
          <w:p>
            <w:pPr>
              <w:snapToGrid w:val="0"/>
              <w:spacing w:line="32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26</w:t>
            </w:r>
          </w:p>
        </w:tc>
        <w:tc>
          <w:tcPr>
            <w:tcW w:w="1440" w:type="dxa"/>
            <w:vAlign w:val="center"/>
          </w:tcPr>
          <w:p>
            <w:pPr>
              <w:snapToGrid w:val="0"/>
              <w:spacing w:line="32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5</w:t>
            </w:r>
          </w:p>
        </w:tc>
        <w:tc>
          <w:tcPr>
            <w:tcW w:w="2589" w:type="dxa"/>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国培计划（示范性项目、中西部项目）、省培计划等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2693" w:type="dxa"/>
            <w:vMerge w:val="restart"/>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设区市和县（区、市）培训机构</w:t>
            </w:r>
          </w:p>
        </w:tc>
        <w:tc>
          <w:tcPr>
            <w:tcW w:w="913" w:type="dxa"/>
            <w:vMerge w:val="continue"/>
            <w:vAlign w:val="center"/>
          </w:tcPr>
          <w:p>
            <w:pPr>
              <w:snapToGrid w:val="0"/>
              <w:spacing w:line="320" w:lineRule="exact"/>
              <w:ind w:firstLine="560" w:firstLineChars="200"/>
              <w:jc w:val="center"/>
              <w:rPr>
                <w:rFonts w:hint="eastAsia" w:ascii="仿宋_GB2312" w:hAnsi="仿宋" w:eastAsia="仿宋_GB2312"/>
                <w:sz w:val="28"/>
                <w:szCs w:val="28"/>
              </w:rPr>
            </w:pPr>
          </w:p>
        </w:tc>
        <w:tc>
          <w:tcPr>
            <w:tcW w:w="1440" w:type="dxa"/>
            <w:vAlign w:val="center"/>
          </w:tcPr>
          <w:p>
            <w:pPr>
              <w:snapToGrid w:val="0"/>
              <w:spacing w:line="32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6</w:t>
            </w:r>
          </w:p>
        </w:tc>
        <w:tc>
          <w:tcPr>
            <w:tcW w:w="2589" w:type="dxa"/>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设区市和县（区、市）组织、实施的培训项目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2693" w:type="dxa"/>
            <w:vMerge w:val="continue"/>
            <w:vAlign w:val="center"/>
          </w:tcPr>
          <w:p>
            <w:pPr>
              <w:snapToGrid w:val="0"/>
              <w:spacing w:line="320" w:lineRule="exact"/>
              <w:rPr>
                <w:rFonts w:hint="eastAsia" w:ascii="仿宋_GB2312" w:hAnsi="仿宋" w:eastAsia="仿宋_GB2312" w:cs="仿宋"/>
                <w:sz w:val="28"/>
                <w:szCs w:val="28"/>
              </w:rPr>
            </w:pPr>
          </w:p>
        </w:tc>
        <w:tc>
          <w:tcPr>
            <w:tcW w:w="913" w:type="dxa"/>
            <w:vMerge w:val="continue"/>
            <w:vAlign w:val="center"/>
          </w:tcPr>
          <w:p>
            <w:pPr>
              <w:snapToGrid w:val="0"/>
              <w:spacing w:line="320" w:lineRule="exact"/>
              <w:ind w:firstLine="560" w:firstLineChars="200"/>
              <w:jc w:val="center"/>
              <w:rPr>
                <w:rFonts w:hint="eastAsia" w:ascii="仿宋_GB2312" w:hAnsi="仿宋" w:eastAsia="仿宋_GB2312"/>
                <w:sz w:val="28"/>
                <w:szCs w:val="28"/>
              </w:rPr>
            </w:pPr>
          </w:p>
        </w:tc>
        <w:tc>
          <w:tcPr>
            <w:tcW w:w="1440" w:type="dxa"/>
            <w:vAlign w:val="center"/>
          </w:tcPr>
          <w:p>
            <w:pPr>
              <w:snapToGrid w:val="0"/>
              <w:spacing w:line="32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15</w:t>
            </w:r>
          </w:p>
        </w:tc>
        <w:tc>
          <w:tcPr>
            <w:tcW w:w="2589" w:type="dxa"/>
            <w:vAlign w:val="center"/>
          </w:tcPr>
          <w:p>
            <w:pPr>
              <w:snapToGrid w:val="0"/>
              <w:spacing w:line="320" w:lineRule="exact"/>
              <w:rPr>
                <w:rFonts w:hint="eastAsia" w:ascii="仿宋_GB2312" w:hAnsi="仿宋" w:eastAsia="仿宋_GB2312" w:cs="仿宋"/>
                <w:sz w:val="28"/>
                <w:szCs w:val="28"/>
                <w:u w:val="single" w:color="FF0000"/>
              </w:rPr>
            </w:pPr>
            <w:r>
              <w:rPr>
                <w:rFonts w:hint="eastAsia" w:ascii="仿宋_GB2312" w:hAnsi="仿宋" w:eastAsia="仿宋_GB2312" w:cs="仿宋"/>
                <w:sz w:val="28"/>
                <w:szCs w:val="28"/>
              </w:rPr>
              <w:t>全员培训、国培计划或省培计划网络研修培训以及信息技术应用能力提升工程等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restart"/>
            <w:vAlign w:val="center"/>
          </w:tcPr>
          <w:p>
            <w:pPr>
              <w:snapToGrid w:val="0"/>
              <w:spacing w:line="32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自主</w:t>
            </w:r>
          </w:p>
          <w:p>
            <w:pPr>
              <w:snapToGrid w:val="0"/>
              <w:spacing w:line="320" w:lineRule="exact"/>
              <w:jc w:val="center"/>
              <w:rPr>
                <w:rFonts w:hint="eastAsia" w:ascii="仿宋_GB2312" w:hAnsi="仿宋" w:eastAsia="仿宋_GB2312"/>
                <w:sz w:val="28"/>
                <w:szCs w:val="28"/>
              </w:rPr>
            </w:pPr>
            <w:r>
              <w:rPr>
                <w:rFonts w:hint="eastAsia" w:ascii="仿宋_GB2312" w:hAnsi="仿宋" w:eastAsia="仿宋_GB2312" w:cs="仿宋"/>
                <w:b/>
                <w:sz w:val="28"/>
                <w:szCs w:val="28"/>
              </w:rPr>
              <w:t>培训</w:t>
            </w:r>
          </w:p>
        </w:tc>
        <w:tc>
          <w:tcPr>
            <w:tcW w:w="2693" w:type="dxa"/>
            <w:vMerge w:val="restart"/>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 xml:space="preserve"> 中小学（幼儿园）</w:t>
            </w:r>
          </w:p>
        </w:tc>
        <w:tc>
          <w:tcPr>
            <w:tcW w:w="913" w:type="dxa"/>
            <w:vMerge w:val="restart"/>
            <w:vAlign w:val="center"/>
          </w:tcPr>
          <w:p>
            <w:pPr>
              <w:snapToGrid w:val="0"/>
              <w:spacing w:line="32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10</w:t>
            </w:r>
          </w:p>
        </w:tc>
        <w:tc>
          <w:tcPr>
            <w:tcW w:w="4029" w:type="dxa"/>
            <w:gridSpan w:val="2"/>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学校自主组织的各类培训项目（校本培训）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2693" w:type="dxa"/>
            <w:vMerge w:val="continue"/>
            <w:vAlign w:val="center"/>
          </w:tcPr>
          <w:p>
            <w:pPr>
              <w:snapToGrid w:val="0"/>
              <w:spacing w:line="320" w:lineRule="exact"/>
              <w:jc w:val="center"/>
              <w:rPr>
                <w:rFonts w:hint="eastAsia" w:ascii="仿宋_GB2312" w:hAnsi="仿宋" w:eastAsia="仿宋_GB2312"/>
                <w:sz w:val="28"/>
                <w:szCs w:val="28"/>
              </w:rPr>
            </w:pPr>
          </w:p>
        </w:tc>
        <w:tc>
          <w:tcPr>
            <w:tcW w:w="913"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4029" w:type="dxa"/>
            <w:gridSpan w:val="2"/>
            <w:vAlign w:val="center"/>
          </w:tcPr>
          <w:p>
            <w:pPr>
              <w:snapToGrid w:val="0"/>
              <w:spacing w:line="320" w:lineRule="exact"/>
              <w:rPr>
                <w:rFonts w:hint="eastAsia" w:ascii="仿宋_GB2312" w:hAnsi="仿宋" w:eastAsia="仿宋_GB2312"/>
                <w:sz w:val="28"/>
                <w:szCs w:val="28"/>
              </w:rPr>
            </w:pPr>
            <w:r>
              <w:rPr>
                <w:rFonts w:hint="eastAsia" w:ascii="仿宋_GB2312" w:hAnsi="仿宋" w:eastAsia="仿宋_GB2312" w:cs="仿宋"/>
                <w:sz w:val="28"/>
                <w:szCs w:val="28"/>
              </w:rPr>
              <w:t>学校自主组织的各类教研活动（校本教研）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17"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2693" w:type="dxa"/>
            <w:vMerge w:val="continue"/>
            <w:vAlign w:val="center"/>
          </w:tcPr>
          <w:p>
            <w:pPr>
              <w:snapToGrid w:val="0"/>
              <w:spacing w:line="320" w:lineRule="exact"/>
              <w:jc w:val="center"/>
              <w:rPr>
                <w:rFonts w:hint="eastAsia" w:ascii="仿宋_GB2312" w:hAnsi="仿宋" w:eastAsia="仿宋_GB2312"/>
                <w:sz w:val="28"/>
                <w:szCs w:val="28"/>
              </w:rPr>
            </w:pPr>
          </w:p>
        </w:tc>
        <w:tc>
          <w:tcPr>
            <w:tcW w:w="913" w:type="dxa"/>
            <w:vMerge w:val="continue"/>
            <w:vAlign w:val="center"/>
          </w:tcPr>
          <w:p>
            <w:pPr>
              <w:snapToGrid w:val="0"/>
              <w:spacing w:line="320" w:lineRule="exact"/>
              <w:ind w:firstLine="560" w:firstLineChars="200"/>
              <w:rPr>
                <w:rFonts w:hint="eastAsia" w:ascii="仿宋_GB2312" w:hAnsi="仿宋" w:eastAsia="仿宋_GB2312"/>
                <w:sz w:val="28"/>
                <w:szCs w:val="28"/>
              </w:rPr>
            </w:pPr>
          </w:p>
        </w:tc>
        <w:tc>
          <w:tcPr>
            <w:tcW w:w="4029" w:type="dxa"/>
            <w:gridSpan w:val="2"/>
            <w:vAlign w:val="center"/>
          </w:tcPr>
          <w:p>
            <w:pPr>
              <w:snapToGrid w:val="0"/>
              <w:spacing w:line="320" w:lineRule="exact"/>
              <w:rPr>
                <w:rFonts w:hint="eastAsia" w:ascii="仿宋_GB2312" w:hAnsi="仿宋" w:eastAsia="仿宋_GB2312" w:cs="仿宋"/>
                <w:sz w:val="28"/>
                <w:szCs w:val="28"/>
              </w:rPr>
            </w:pPr>
            <w:r>
              <w:rPr>
                <w:rFonts w:hint="eastAsia" w:ascii="仿宋_GB2312" w:hAnsi="仿宋" w:eastAsia="仿宋_GB2312" w:cs="仿宋"/>
                <w:sz w:val="28"/>
                <w:szCs w:val="28"/>
              </w:rPr>
              <w:t>教师工作坊、名师工作室组织的各类研修活动</w:t>
            </w:r>
          </w:p>
        </w:tc>
      </w:tr>
    </w:tbl>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（三）全员培训项目按照省中小学（幼儿园）教师互联网</w:t>
      </w:r>
      <w:r>
        <w:rPr>
          <w:rFonts w:ascii="仿宋_GB2312" w:hAnsi="宋体" w:eastAsia="仿宋_GB2312" w:cs="仿宋"/>
          <w:sz w:val="32"/>
          <w:szCs w:val="32"/>
        </w:rPr>
        <w:t>+</w:t>
      </w:r>
      <w:r>
        <w:rPr>
          <w:rFonts w:hint="eastAsia" w:ascii="仿宋_GB2312" w:hAnsi="宋体" w:eastAsia="仿宋_GB2312" w:cs="仿宋"/>
          <w:sz w:val="32"/>
          <w:szCs w:val="32"/>
        </w:rPr>
        <w:t>专业化全员培训有关规定（另行制定）实施。国培计划或省培计划网络研修培训以及信息技术应用能力提升工程等按相关文件通知实施。</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四）各设区市和县（区、市）以及各中小学（幼儿园）在组织实施本级培训时，由于经费不足等不可抗力因素而无法实现集中培训全覆盖时，可采用集中培训与全员培训相结合的混合方式作为“托底”。但作为“托底的全员培训”须在每年统筹的全员培训结束后方可实施，且所设计学分数每年不得超过1.5分。</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第七条  </w:t>
      </w:r>
      <w:r>
        <w:rPr>
          <w:rFonts w:hint="eastAsia" w:ascii="仿宋_GB2312" w:hAnsi="宋体" w:eastAsia="仿宋_GB2312" w:cs="仿宋"/>
          <w:sz w:val="32"/>
          <w:szCs w:val="32"/>
        </w:rPr>
        <w:t>中小学教师实际参加的培训学时按比例折算为学分。原则上，集中培训每50分钟为1学时，一个教学单位记为4学时，一天为8学时。统筹培训项目中，省级及以上培训机构组织的集中培训，每8学时折算为1学分；设区市和县（市、区）培训机构组织的集中培训，每10学时折算为1学分。全员培训（含网络研修），每20学时折算为1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一）中小学教师参加各级统筹项目的集中培训，培训时长在15天以下（含15天），经承训机构考核合格的，按实际学时的100%折算学分；培训时长超过15天的项目，其超出学时经承训机构考核合格的，按实际学时的40%折算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（二）中小学教师参加各级统筹项目的集中培训，经承训机构考核不合格的，其所修学时不能折算为学分。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三）中小学教师参加各级统筹项目的集中培训，因各类原因必须请假的，需办理请假手续，其培训学时计算按照培训计划学时减去请假学时核算。原则上，请假学时不得超过该培训项目总学时的30%，否则本次培训所修学时不能折算为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（四）中小学教师试用期内参加的各类新教师专项培训，不折算学分。但记入培训档案。</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（五）中小学校（园）长参加的各级任职资格、提高培训，属于任职必备条件，按实际集中培训学时的50%折算学分。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六）自主培训项目中，教师听课20节/学年、开设1节县（区）级及以上或2节校级公开课、承担县（区）级及以上培训讲座1次或校内培训讲座2次，可计1学分；获县（区）级及以上课题立项、参加（县区）级及以上教师工作坊或名师工作室满2年、在省级以上刊物发表论文1篇、主编校本教材1部，可计2学分。上述教研行为在认定时均需提供过程证明材料。其他未提及的校本研修方式及学分折算标准，由各校（园）在年度申报方案中提出，由对应层级的教育行政管理部门负责审核、认定。原则上，每年自主培训学分不得少于2分。</w:t>
      </w:r>
    </w:p>
    <w:p>
      <w:pPr>
        <w:spacing w:line="580" w:lineRule="exact"/>
        <w:jc w:val="center"/>
        <w:rPr>
          <w:rFonts w:hint="eastAsia" w:ascii="黑体" w:hAnsi="黑体" w:eastAsia="黑体" w:cs="仿宋"/>
          <w:sz w:val="32"/>
          <w:szCs w:val="32"/>
        </w:rPr>
      </w:pPr>
      <w:bookmarkStart w:id="4" w:name="_Toc482566682"/>
      <w:r>
        <w:rPr>
          <w:rFonts w:hint="eastAsia" w:ascii="黑体" w:hAnsi="黑体" w:eastAsia="黑体" w:cs="仿宋"/>
          <w:sz w:val="32"/>
          <w:szCs w:val="32"/>
        </w:rPr>
        <w:t>第三章  学分冲抵</w:t>
      </w:r>
      <w:bookmarkEnd w:id="4"/>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第八条 冲抵方法。</w:t>
      </w:r>
      <w:r>
        <w:rPr>
          <w:rFonts w:hint="eastAsia" w:ascii="仿宋_GB2312" w:hAnsi="宋体" w:eastAsia="仿宋_GB2312" w:cs="仿宋"/>
          <w:sz w:val="32"/>
          <w:szCs w:val="32"/>
        </w:rPr>
        <w:t>教师参加学历提升学习、参加专业竞赛获奖、承担师训工作以及参加相同项目时，均可冲抵学分。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（一）学历冲抵。中小学教师参加学历提升学习，凭毕业证书或学位证书，可以冲抵任一层级培训学分，但在一个培训周期内，累计最高冲抵不超过</w:t>
      </w:r>
      <w:r>
        <w:rPr>
          <w:rFonts w:ascii="仿宋_GB2312" w:hAnsi="宋体" w:eastAsia="仿宋_GB2312" w:cs="仿宋"/>
          <w:sz w:val="32"/>
          <w:szCs w:val="32"/>
        </w:rPr>
        <w:t>8</w:t>
      </w:r>
      <w:r>
        <w:rPr>
          <w:rFonts w:hint="eastAsia" w:ascii="仿宋_GB2312" w:hAnsi="宋体" w:eastAsia="仿宋_GB2312" w:cs="仿宋"/>
          <w:sz w:val="32"/>
          <w:szCs w:val="32"/>
        </w:rPr>
        <w:t>学分，且不能跨周期冲抵。教师在试用期内完成学历提升其证书不能冲抵学分。具体冲抵学分情况详见表</w:t>
      </w:r>
      <w:r>
        <w:rPr>
          <w:rFonts w:ascii="仿宋_GB2312" w:hAnsi="宋体" w:eastAsia="仿宋_GB2312" w:cs="仿宋"/>
          <w:sz w:val="32"/>
          <w:szCs w:val="32"/>
        </w:rPr>
        <w:t>2</w:t>
      </w:r>
      <w:r>
        <w:rPr>
          <w:rFonts w:hint="eastAsia" w:ascii="仿宋_GB2312" w:hAnsi="宋体" w:eastAsia="仿宋_GB2312" w:cs="仿宋"/>
          <w:sz w:val="32"/>
          <w:szCs w:val="32"/>
        </w:rPr>
        <w:t>。</w:t>
      </w:r>
    </w:p>
    <w:p>
      <w:pPr>
        <w:spacing w:line="580" w:lineRule="exact"/>
        <w:jc w:val="center"/>
        <w:rPr>
          <w:rFonts w:hint="eastAsia" w:ascii="仿宋_GB2312" w:hAnsi="仿宋" w:eastAsia="仿宋_GB2312"/>
          <w:b/>
          <w:bCs/>
          <w:sz w:val="32"/>
          <w:szCs w:val="32"/>
        </w:rPr>
      </w:pPr>
      <w:r>
        <w:rPr>
          <w:rFonts w:hint="eastAsia" w:ascii="仿宋_GB2312" w:hAnsi="仿宋" w:eastAsia="仿宋_GB2312" w:cs="仿宋"/>
          <w:b/>
          <w:bCs/>
          <w:sz w:val="32"/>
          <w:szCs w:val="32"/>
        </w:rPr>
        <w:t>表</w:t>
      </w:r>
      <w:r>
        <w:rPr>
          <w:rFonts w:ascii="仿宋_GB2312" w:hAnsi="仿宋" w:eastAsia="仿宋_GB2312" w:cs="仿宋"/>
          <w:b/>
          <w:bCs/>
          <w:sz w:val="32"/>
          <w:szCs w:val="32"/>
        </w:rPr>
        <w:t>2</w:t>
      </w:r>
      <w:r>
        <w:rPr>
          <w:rFonts w:hint="eastAsia" w:ascii="仿宋_GB2312" w:hAnsi="仿宋" w:eastAsia="仿宋_GB2312" w:cs="仿宋"/>
          <w:b/>
          <w:bCs/>
          <w:sz w:val="32"/>
          <w:szCs w:val="32"/>
        </w:rPr>
        <w:t xml:space="preserve">  学历提升冲抵学分表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pacing w:line="440" w:lineRule="exact"/>
              <w:jc w:val="center"/>
              <w:rPr>
                <w:rFonts w:hint="eastAsia" w:ascii="黑体" w:hAnsi="黑体" w:eastAsia="黑体"/>
                <w:sz w:val="28"/>
                <w:szCs w:val="28"/>
              </w:rPr>
            </w:pPr>
            <w:r>
              <w:rPr>
                <w:rFonts w:hint="eastAsia" w:ascii="黑体" w:hAnsi="黑体" w:eastAsia="黑体" w:cs="仿宋"/>
                <w:sz w:val="28"/>
                <w:szCs w:val="28"/>
              </w:rPr>
              <w:t>学历层次</w:t>
            </w:r>
          </w:p>
        </w:tc>
        <w:tc>
          <w:tcPr>
            <w:tcW w:w="2841" w:type="dxa"/>
            <w:vAlign w:val="center"/>
          </w:tcPr>
          <w:p>
            <w:pPr>
              <w:spacing w:line="440" w:lineRule="exact"/>
              <w:jc w:val="center"/>
              <w:rPr>
                <w:rFonts w:hint="eastAsia" w:ascii="黑体" w:hAnsi="黑体" w:eastAsia="黑体"/>
                <w:sz w:val="28"/>
                <w:szCs w:val="28"/>
              </w:rPr>
            </w:pPr>
            <w:r>
              <w:rPr>
                <w:rFonts w:hint="eastAsia" w:ascii="黑体" w:hAnsi="黑体" w:eastAsia="黑体" w:cs="仿宋"/>
                <w:sz w:val="28"/>
                <w:szCs w:val="28"/>
              </w:rPr>
              <w:t>冲抵学分</w:t>
            </w:r>
          </w:p>
        </w:tc>
        <w:tc>
          <w:tcPr>
            <w:tcW w:w="2841" w:type="dxa"/>
            <w:vAlign w:val="center"/>
          </w:tcPr>
          <w:p>
            <w:pPr>
              <w:spacing w:line="440" w:lineRule="exact"/>
              <w:jc w:val="center"/>
              <w:rPr>
                <w:rFonts w:hint="eastAsia" w:ascii="黑体" w:hAnsi="黑体" w:eastAsia="黑体"/>
                <w:sz w:val="28"/>
                <w:szCs w:val="28"/>
              </w:rPr>
            </w:pPr>
            <w:r>
              <w:rPr>
                <w:rFonts w:hint="eastAsia" w:ascii="黑体" w:hAnsi="黑体" w:eastAsia="黑体"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pacing w:line="440" w:lineRule="exact"/>
              <w:jc w:val="center"/>
              <w:rPr>
                <w:rFonts w:hint="eastAsia" w:ascii="仿宋_GB2312" w:hAnsi="仿宋" w:eastAsia="仿宋_GB2312"/>
                <w:sz w:val="28"/>
                <w:szCs w:val="28"/>
              </w:rPr>
            </w:pPr>
            <w:r>
              <w:rPr>
                <w:rFonts w:hint="eastAsia" w:ascii="仿宋_GB2312" w:hAnsi="仿宋" w:eastAsia="仿宋_GB2312" w:cs="仿宋"/>
                <w:sz w:val="28"/>
                <w:szCs w:val="28"/>
              </w:rPr>
              <w:t>大专</w:t>
            </w:r>
          </w:p>
        </w:tc>
        <w:tc>
          <w:tcPr>
            <w:tcW w:w="2841" w:type="dxa"/>
            <w:vAlign w:val="center"/>
          </w:tcPr>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w:t>
            </w:r>
          </w:p>
        </w:tc>
        <w:tc>
          <w:tcPr>
            <w:tcW w:w="2841" w:type="dxa"/>
            <w:vMerge w:val="restart"/>
            <w:vAlign w:val="center"/>
          </w:tcPr>
          <w:p>
            <w:pPr>
              <w:snapToGrid w:val="0"/>
              <w:spacing w:line="440" w:lineRule="exact"/>
              <w:rPr>
                <w:rFonts w:hint="eastAsia" w:ascii="仿宋_GB2312" w:hAnsi="仿宋" w:eastAsia="仿宋_GB2312" w:cs="仿宋"/>
                <w:sz w:val="28"/>
                <w:szCs w:val="28"/>
              </w:rPr>
            </w:pPr>
            <w:r>
              <w:rPr>
                <w:rFonts w:hint="eastAsia" w:ascii="仿宋_GB2312" w:hAnsi="仿宋" w:eastAsia="仿宋_GB2312" w:cs="仿宋"/>
                <w:sz w:val="28"/>
                <w:szCs w:val="28"/>
              </w:rPr>
              <w:t>要求相关或相近专业学历（学位），且同一层次的毕业证（学位证）只能冲抵一次。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pacing w:line="440" w:lineRule="exact"/>
              <w:jc w:val="center"/>
              <w:rPr>
                <w:rFonts w:hint="eastAsia" w:ascii="仿宋_GB2312" w:hAnsi="仿宋" w:eastAsia="仿宋_GB2312"/>
                <w:sz w:val="28"/>
                <w:szCs w:val="28"/>
              </w:rPr>
            </w:pPr>
            <w:r>
              <w:rPr>
                <w:rFonts w:hint="eastAsia" w:ascii="仿宋_GB2312" w:hAnsi="仿宋" w:eastAsia="仿宋_GB2312" w:cs="仿宋"/>
                <w:sz w:val="28"/>
                <w:szCs w:val="28"/>
              </w:rPr>
              <w:t>本科</w:t>
            </w:r>
          </w:p>
        </w:tc>
        <w:tc>
          <w:tcPr>
            <w:tcW w:w="2841" w:type="dxa"/>
            <w:vAlign w:val="center"/>
          </w:tcPr>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4</w:t>
            </w:r>
          </w:p>
        </w:tc>
        <w:tc>
          <w:tcPr>
            <w:tcW w:w="2841" w:type="dxa"/>
            <w:vMerge w:val="continue"/>
            <w:vAlign w:val="center"/>
          </w:tcPr>
          <w:p>
            <w:pPr>
              <w:spacing w:line="44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pacing w:line="440" w:lineRule="exact"/>
              <w:jc w:val="center"/>
              <w:rPr>
                <w:rFonts w:hint="eastAsia" w:ascii="仿宋_GB2312" w:hAnsi="仿宋" w:eastAsia="仿宋_GB2312"/>
                <w:sz w:val="28"/>
                <w:szCs w:val="28"/>
              </w:rPr>
            </w:pPr>
            <w:r>
              <w:rPr>
                <w:rFonts w:hint="eastAsia" w:ascii="仿宋_GB2312" w:hAnsi="仿宋" w:eastAsia="仿宋_GB2312" w:cs="仿宋"/>
                <w:sz w:val="28"/>
                <w:szCs w:val="28"/>
              </w:rPr>
              <w:t>硕士及以上</w:t>
            </w:r>
          </w:p>
        </w:tc>
        <w:tc>
          <w:tcPr>
            <w:tcW w:w="2841" w:type="dxa"/>
            <w:vAlign w:val="center"/>
          </w:tcPr>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8</w:t>
            </w:r>
          </w:p>
        </w:tc>
        <w:tc>
          <w:tcPr>
            <w:tcW w:w="2841" w:type="dxa"/>
            <w:vMerge w:val="continue"/>
            <w:vAlign w:val="center"/>
          </w:tcPr>
          <w:p>
            <w:pPr>
              <w:spacing w:line="440" w:lineRule="exact"/>
              <w:ind w:firstLine="560" w:firstLineChars="200"/>
              <w:jc w:val="center"/>
              <w:rPr>
                <w:rFonts w:hint="eastAsia" w:ascii="仿宋_GB2312" w:hAnsi="仿宋" w:eastAsia="仿宋_GB2312" w:cs="仿宋"/>
                <w:sz w:val="28"/>
                <w:szCs w:val="28"/>
              </w:rPr>
            </w:pPr>
          </w:p>
        </w:tc>
      </w:tr>
    </w:tbl>
    <w:p>
      <w:pPr>
        <w:spacing w:line="580" w:lineRule="exact"/>
        <w:ind w:firstLine="640" w:firstLineChars="200"/>
        <w:jc w:val="left"/>
        <w:rPr>
          <w:rFonts w:hint="eastAsia" w:ascii="仿宋_GB2312" w:hAnsi="宋体" w:eastAsia="仿宋_GB2312" w:cs="仿宋"/>
          <w:sz w:val="32"/>
          <w:szCs w:val="32"/>
        </w:rPr>
      </w:pPr>
      <w:r>
        <w:rPr>
          <w:rFonts w:hint="eastAsia" w:ascii="仿宋_GB2312" w:hAnsi="宋体" w:eastAsia="仿宋_GB2312" w:cs="仿宋"/>
          <w:sz w:val="32"/>
          <w:szCs w:val="32"/>
        </w:rPr>
        <w:t>（二）竞赛获奖冲抵。中小学教师在各级教育行政部门组织的专业竞赛中获奖，凭获奖证书，可以冲抵获奖证书日期次年、与举办者对应层次的培训学分，同一证书只能冲抵一次。在同一周期内，由不同层级举办的同一竞赛项目，按最高对应层次冲抵，不重复计算。多人共同获奖且只颁发一本获奖证书时，冲抵学分只认定排名前三者。一个培训周期内，竞赛冲抵学分累计最高不超过6学分，不可跨周期冲抵。具体冲抵学分情况详见表</w:t>
      </w:r>
      <w:r>
        <w:rPr>
          <w:rFonts w:ascii="仿宋_GB2312" w:hAnsi="宋体" w:eastAsia="仿宋_GB2312" w:cs="仿宋"/>
          <w:sz w:val="32"/>
          <w:szCs w:val="32"/>
        </w:rPr>
        <w:t>3</w:t>
      </w:r>
      <w:r>
        <w:rPr>
          <w:rFonts w:hint="eastAsia" w:ascii="仿宋_GB2312" w:hAnsi="宋体" w:eastAsia="仿宋_GB2312" w:cs="仿宋"/>
          <w:sz w:val="32"/>
          <w:szCs w:val="32"/>
        </w:rPr>
        <w:t>。</w:t>
      </w:r>
    </w:p>
    <w:p>
      <w:pPr>
        <w:spacing w:line="580" w:lineRule="exact"/>
        <w:jc w:val="center"/>
        <w:rPr>
          <w:rFonts w:hint="eastAsia" w:ascii="仿宋_GB2312" w:hAnsi="宋体" w:eastAsia="仿宋_GB2312"/>
          <w:b/>
          <w:bCs/>
          <w:sz w:val="32"/>
          <w:szCs w:val="32"/>
        </w:rPr>
      </w:pPr>
      <w:r>
        <w:rPr>
          <w:rFonts w:hint="eastAsia" w:ascii="仿宋_GB2312" w:hAnsi="宋体" w:eastAsia="仿宋_GB2312" w:cs="仿宋"/>
          <w:b/>
          <w:bCs/>
          <w:sz w:val="32"/>
          <w:szCs w:val="32"/>
        </w:rPr>
        <w:t>表</w:t>
      </w:r>
      <w:r>
        <w:rPr>
          <w:rFonts w:ascii="仿宋_GB2312" w:hAnsi="宋体" w:eastAsia="仿宋_GB2312" w:cs="仿宋"/>
          <w:b/>
          <w:bCs/>
          <w:sz w:val="32"/>
          <w:szCs w:val="32"/>
        </w:rPr>
        <w:t>3</w:t>
      </w:r>
      <w:r>
        <w:rPr>
          <w:rFonts w:hint="eastAsia" w:ascii="仿宋_GB2312" w:hAnsi="宋体" w:eastAsia="仿宋_GB2312" w:cs="仿宋"/>
          <w:b/>
          <w:bCs/>
          <w:sz w:val="32"/>
          <w:szCs w:val="32"/>
        </w:rPr>
        <w:t xml:space="preserve">  教师专业竞赛获奖冲抵表</w:t>
      </w: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7"/>
        <w:gridCol w:w="2738"/>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57" w:type="dxa"/>
            <w:vAlign w:val="center"/>
          </w:tcPr>
          <w:p>
            <w:pPr>
              <w:snapToGrid w:val="0"/>
              <w:spacing w:line="460" w:lineRule="exact"/>
              <w:jc w:val="center"/>
              <w:rPr>
                <w:rFonts w:hint="eastAsia" w:ascii="黑体" w:hAnsi="黑体" w:eastAsia="黑体" w:cs="仿宋"/>
                <w:sz w:val="28"/>
                <w:szCs w:val="28"/>
              </w:rPr>
            </w:pPr>
            <w:r>
              <w:rPr>
                <w:rFonts w:hint="eastAsia" w:ascii="黑体" w:hAnsi="黑体" w:eastAsia="黑体" w:cs="仿宋"/>
                <w:sz w:val="28"/>
                <w:szCs w:val="28"/>
              </w:rPr>
              <w:t>组织单位层级</w:t>
            </w:r>
          </w:p>
        </w:tc>
        <w:tc>
          <w:tcPr>
            <w:tcW w:w="2738" w:type="dxa"/>
            <w:vAlign w:val="center"/>
          </w:tcPr>
          <w:p>
            <w:pPr>
              <w:snapToGrid w:val="0"/>
              <w:spacing w:line="460" w:lineRule="exact"/>
              <w:jc w:val="center"/>
              <w:rPr>
                <w:rFonts w:hint="eastAsia" w:ascii="黑体" w:hAnsi="黑体" w:eastAsia="黑体" w:cs="仿宋"/>
                <w:sz w:val="28"/>
                <w:szCs w:val="28"/>
              </w:rPr>
            </w:pPr>
            <w:r>
              <w:rPr>
                <w:rFonts w:hint="eastAsia" w:ascii="黑体" w:hAnsi="黑体" w:eastAsia="黑体" w:cs="仿宋"/>
                <w:sz w:val="28"/>
                <w:szCs w:val="28"/>
              </w:rPr>
              <w:t>获奖等级</w:t>
            </w:r>
          </w:p>
        </w:tc>
        <w:tc>
          <w:tcPr>
            <w:tcW w:w="2841" w:type="dxa"/>
            <w:vAlign w:val="center"/>
          </w:tcPr>
          <w:p>
            <w:pPr>
              <w:snapToGrid w:val="0"/>
              <w:spacing w:line="460" w:lineRule="exact"/>
              <w:jc w:val="center"/>
              <w:rPr>
                <w:rFonts w:hint="eastAsia" w:ascii="黑体" w:hAnsi="黑体" w:eastAsia="黑体" w:cs="仿宋"/>
                <w:sz w:val="28"/>
                <w:szCs w:val="28"/>
              </w:rPr>
            </w:pPr>
            <w:r>
              <w:rPr>
                <w:rFonts w:hint="eastAsia" w:ascii="黑体" w:hAnsi="黑体" w:eastAsia="黑体" w:cs="仿宋"/>
                <w:sz w:val="28"/>
                <w:szCs w:val="28"/>
              </w:rPr>
              <w:t>冲抵学分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3157" w:type="dxa"/>
            <w:vMerge w:val="restart"/>
            <w:vAlign w:val="center"/>
          </w:tcPr>
          <w:p>
            <w:pPr>
              <w:snapToGrid w:val="0"/>
              <w:spacing w:line="460" w:lineRule="exact"/>
              <w:rPr>
                <w:rFonts w:hint="eastAsia" w:ascii="仿宋_GB2312" w:hAnsi="仿宋" w:eastAsia="仿宋_GB2312" w:cs="仿宋"/>
                <w:sz w:val="28"/>
                <w:szCs w:val="28"/>
              </w:rPr>
            </w:pPr>
            <w:r>
              <w:rPr>
                <w:rFonts w:hint="eastAsia" w:ascii="仿宋_GB2312" w:hAnsi="仿宋" w:eastAsia="仿宋_GB2312" w:cs="仿宋"/>
                <w:sz w:val="28"/>
                <w:szCs w:val="28"/>
              </w:rPr>
              <w:t>教育部</w:t>
            </w: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一等奖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3157" w:type="dxa"/>
            <w:vMerge w:val="continue"/>
            <w:vAlign w:val="center"/>
          </w:tcPr>
          <w:p>
            <w:pPr>
              <w:snapToGrid w:val="0"/>
              <w:spacing w:line="460" w:lineRule="exact"/>
              <w:rPr>
                <w:rFonts w:hint="eastAsia" w:ascii="仿宋_GB2312" w:hAnsi="仿宋" w:eastAsia="仿宋_GB2312" w:cs="仿宋"/>
                <w:sz w:val="28"/>
                <w:szCs w:val="28"/>
              </w:rPr>
            </w:pP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二等奖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3157" w:type="dxa"/>
            <w:vMerge w:val="continue"/>
            <w:vAlign w:val="center"/>
          </w:tcPr>
          <w:p>
            <w:pPr>
              <w:snapToGrid w:val="0"/>
              <w:spacing w:line="460" w:lineRule="exact"/>
              <w:rPr>
                <w:rFonts w:hint="eastAsia" w:ascii="仿宋_GB2312" w:hAnsi="仿宋" w:eastAsia="仿宋_GB2312" w:cs="仿宋"/>
                <w:sz w:val="28"/>
                <w:szCs w:val="28"/>
              </w:rPr>
            </w:pP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三等奖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157" w:type="dxa"/>
            <w:vMerge w:val="restart"/>
            <w:vAlign w:val="center"/>
          </w:tcPr>
          <w:p>
            <w:pPr>
              <w:snapToGrid w:val="0"/>
              <w:spacing w:line="460" w:lineRule="exact"/>
              <w:rPr>
                <w:rFonts w:hint="eastAsia" w:ascii="仿宋_GB2312" w:hAnsi="仿宋" w:eastAsia="仿宋_GB2312" w:cs="仿宋"/>
                <w:sz w:val="28"/>
                <w:szCs w:val="28"/>
              </w:rPr>
            </w:pPr>
            <w:r>
              <w:rPr>
                <w:rFonts w:hint="eastAsia" w:ascii="仿宋_GB2312" w:hAnsi="仿宋" w:eastAsia="仿宋_GB2312" w:cs="仿宋"/>
                <w:sz w:val="28"/>
                <w:szCs w:val="28"/>
              </w:rPr>
              <w:t>省委教育工委、省教育厅</w:t>
            </w: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一等奖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3157" w:type="dxa"/>
            <w:vMerge w:val="continue"/>
            <w:vAlign w:val="center"/>
          </w:tcPr>
          <w:p>
            <w:pPr>
              <w:snapToGrid w:val="0"/>
              <w:spacing w:line="460" w:lineRule="exact"/>
              <w:rPr>
                <w:rFonts w:hint="eastAsia" w:ascii="仿宋_GB2312" w:hAnsi="仿宋" w:eastAsia="仿宋_GB2312" w:cs="仿宋"/>
                <w:sz w:val="28"/>
                <w:szCs w:val="28"/>
              </w:rPr>
            </w:pP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二等奖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3157" w:type="dxa"/>
            <w:vAlign w:val="center"/>
          </w:tcPr>
          <w:p>
            <w:pPr>
              <w:snapToGrid w:val="0"/>
              <w:spacing w:line="460" w:lineRule="exact"/>
              <w:rPr>
                <w:rFonts w:hint="eastAsia" w:ascii="仿宋_GB2312" w:hAnsi="仿宋" w:eastAsia="仿宋_GB2312" w:cs="仿宋"/>
                <w:sz w:val="28"/>
                <w:szCs w:val="28"/>
              </w:rPr>
            </w:pPr>
            <w:r>
              <w:rPr>
                <w:rFonts w:hint="eastAsia" w:ascii="仿宋_GB2312" w:hAnsi="仿宋" w:eastAsia="仿宋_GB2312" w:cs="仿宋"/>
                <w:sz w:val="28"/>
                <w:szCs w:val="28"/>
              </w:rPr>
              <w:t>设区市教育局</w:t>
            </w: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一等奖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3157" w:type="dxa"/>
            <w:vAlign w:val="center"/>
          </w:tcPr>
          <w:p>
            <w:pPr>
              <w:snapToGrid w:val="0"/>
              <w:spacing w:line="460" w:lineRule="exact"/>
              <w:rPr>
                <w:rFonts w:hint="eastAsia" w:ascii="仿宋_GB2312" w:hAnsi="仿宋" w:eastAsia="仿宋_GB2312" w:cs="仿宋"/>
                <w:sz w:val="28"/>
                <w:szCs w:val="28"/>
              </w:rPr>
            </w:pPr>
            <w:r>
              <w:rPr>
                <w:rFonts w:hint="eastAsia" w:ascii="仿宋_GB2312" w:hAnsi="仿宋" w:eastAsia="仿宋_GB2312" w:cs="仿宋"/>
                <w:sz w:val="28"/>
                <w:szCs w:val="28"/>
              </w:rPr>
              <w:t>县（区、市）教育局</w:t>
            </w:r>
          </w:p>
        </w:tc>
        <w:tc>
          <w:tcPr>
            <w:tcW w:w="2738"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一等奖</w:t>
            </w:r>
          </w:p>
        </w:tc>
        <w:tc>
          <w:tcPr>
            <w:tcW w:w="2841" w:type="dxa"/>
            <w:vAlign w:val="center"/>
          </w:tcPr>
          <w:p>
            <w:pPr>
              <w:snapToGrid w:val="0"/>
              <w:spacing w:line="4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w:t>
            </w:r>
          </w:p>
        </w:tc>
      </w:tr>
    </w:tbl>
    <w:p>
      <w:pPr>
        <w:spacing w:line="580" w:lineRule="exact"/>
        <w:ind w:firstLine="640" w:firstLineChars="200"/>
        <w:jc w:val="left"/>
        <w:rPr>
          <w:rFonts w:hint="eastAsia" w:ascii="仿宋_GB2312" w:hAnsi="宋体" w:eastAsia="仿宋_GB2312" w:cs="仿宋"/>
          <w:sz w:val="32"/>
          <w:szCs w:val="32"/>
        </w:rPr>
      </w:pPr>
      <w:r>
        <w:rPr>
          <w:rFonts w:hint="eastAsia" w:ascii="仿宋_GB2312" w:hAnsi="宋体" w:eastAsia="仿宋_GB2312" w:cs="仿宋"/>
          <w:sz w:val="32"/>
          <w:szCs w:val="32"/>
        </w:rPr>
        <w:t>（三）承担师训工作冲抵。中小学教师受聘承担师范类学生职前培养或教师职后培训任务，凭聘用单位证书或相关证明材料（师范类学生职前培养方案、教师培训实施方案或授课安排），可冲抵当年相应层级培训学分。一个培训周期内，师训工作冲抵学分累积最高不超过</w:t>
      </w:r>
      <w:r>
        <w:rPr>
          <w:rFonts w:ascii="仿宋_GB2312" w:hAnsi="宋体" w:eastAsia="仿宋_GB2312" w:cs="仿宋"/>
          <w:sz w:val="32"/>
          <w:szCs w:val="32"/>
        </w:rPr>
        <w:t>11</w:t>
      </w:r>
      <w:r>
        <w:rPr>
          <w:rFonts w:hint="eastAsia" w:ascii="仿宋_GB2312" w:hAnsi="宋体" w:eastAsia="仿宋_GB2312" w:cs="仿宋"/>
          <w:sz w:val="32"/>
          <w:szCs w:val="32"/>
        </w:rPr>
        <w:t>学分（全员培训授课或管理除外）。具体冲抵学分情况详见表</w:t>
      </w:r>
      <w:r>
        <w:rPr>
          <w:rFonts w:ascii="仿宋_GB2312" w:hAnsi="宋体" w:eastAsia="仿宋_GB2312" w:cs="仿宋"/>
          <w:sz w:val="32"/>
          <w:szCs w:val="32"/>
        </w:rPr>
        <w:t>4</w:t>
      </w:r>
      <w:r>
        <w:rPr>
          <w:rFonts w:hint="eastAsia" w:ascii="仿宋_GB2312" w:hAnsi="宋体" w:eastAsia="仿宋_GB2312" w:cs="仿宋"/>
          <w:sz w:val="32"/>
          <w:szCs w:val="32"/>
        </w:rPr>
        <w:t>。</w:t>
      </w:r>
    </w:p>
    <w:p>
      <w:pPr>
        <w:spacing w:line="580" w:lineRule="exact"/>
        <w:jc w:val="center"/>
        <w:rPr>
          <w:rFonts w:hint="eastAsia" w:ascii="仿宋_GB2312" w:hAnsi="仿宋" w:eastAsia="仿宋_GB2312"/>
          <w:b/>
          <w:bCs/>
          <w:sz w:val="32"/>
          <w:szCs w:val="32"/>
        </w:rPr>
      </w:pPr>
      <w:r>
        <w:rPr>
          <w:rFonts w:hint="eastAsia" w:ascii="仿宋_GB2312" w:hAnsi="仿宋" w:eastAsia="仿宋_GB2312" w:cs="仿宋"/>
          <w:b/>
          <w:bCs/>
          <w:sz w:val="32"/>
          <w:szCs w:val="32"/>
        </w:rPr>
        <w:t>表</w:t>
      </w:r>
      <w:r>
        <w:rPr>
          <w:rFonts w:ascii="仿宋_GB2312" w:hAnsi="仿宋" w:eastAsia="仿宋_GB2312" w:cs="仿宋"/>
          <w:b/>
          <w:bCs/>
          <w:sz w:val="32"/>
          <w:szCs w:val="32"/>
        </w:rPr>
        <w:t>4</w:t>
      </w:r>
      <w:r>
        <w:rPr>
          <w:rFonts w:hint="eastAsia" w:ascii="仿宋_GB2312" w:hAnsi="仿宋" w:eastAsia="仿宋_GB2312" w:cs="仿宋"/>
          <w:b/>
          <w:bCs/>
          <w:sz w:val="32"/>
          <w:szCs w:val="32"/>
        </w:rPr>
        <w:t xml:space="preserve">  承担师范生培养或教师培训任务冲抵学分表</w:t>
      </w:r>
    </w:p>
    <w:tbl>
      <w:tblPr>
        <w:tblStyle w:val="7"/>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90"/>
        <w:gridCol w:w="2316"/>
        <w:gridCol w:w="1498"/>
        <w:gridCol w:w="1356"/>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00" w:type="dxa"/>
            <w:vMerge w:val="restart"/>
            <w:vAlign w:val="center"/>
          </w:tcPr>
          <w:p>
            <w:pPr>
              <w:snapToGrid w:val="0"/>
              <w:spacing w:line="400" w:lineRule="exact"/>
              <w:jc w:val="center"/>
              <w:rPr>
                <w:rFonts w:hint="eastAsia" w:ascii="黑体" w:hAnsi="黑体" w:eastAsia="黑体" w:cs="仿宋"/>
                <w:sz w:val="28"/>
                <w:szCs w:val="28"/>
              </w:rPr>
            </w:pPr>
            <w:r>
              <w:rPr>
                <w:rFonts w:hint="eastAsia" w:ascii="黑体" w:hAnsi="黑体" w:eastAsia="黑体" w:cs="仿宋"/>
                <w:sz w:val="28"/>
                <w:szCs w:val="28"/>
              </w:rPr>
              <w:t>任务</w:t>
            </w:r>
          </w:p>
          <w:p>
            <w:pPr>
              <w:snapToGrid w:val="0"/>
              <w:spacing w:line="400" w:lineRule="exact"/>
              <w:jc w:val="center"/>
              <w:rPr>
                <w:rFonts w:hint="eastAsia" w:ascii="黑体" w:hAnsi="黑体" w:eastAsia="黑体"/>
                <w:sz w:val="28"/>
                <w:szCs w:val="28"/>
              </w:rPr>
            </w:pPr>
            <w:r>
              <w:rPr>
                <w:rFonts w:hint="eastAsia" w:ascii="黑体" w:hAnsi="黑体" w:eastAsia="黑体" w:cs="仿宋"/>
                <w:sz w:val="28"/>
                <w:szCs w:val="28"/>
              </w:rPr>
              <w:t>类别</w:t>
            </w:r>
          </w:p>
        </w:tc>
        <w:tc>
          <w:tcPr>
            <w:tcW w:w="2906" w:type="dxa"/>
            <w:gridSpan w:val="2"/>
            <w:vMerge w:val="restart"/>
            <w:vAlign w:val="center"/>
          </w:tcPr>
          <w:p>
            <w:pPr>
              <w:snapToGrid w:val="0"/>
              <w:spacing w:line="400" w:lineRule="exact"/>
              <w:jc w:val="center"/>
              <w:rPr>
                <w:rFonts w:hint="eastAsia" w:ascii="黑体" w:hAnsi="黑体" w:eastAsia="黑体"/>
                <w:sz w:val="28"/>
                <w:szCs w:val="28"/>
              </w:rPr>
            </w:pPr>
            <w:r>
              <w:rPr>
                <w:rFonts w:hint="eastAsia" w:ascii="黑体" w:hAnsi="黑体" w:eastAsia="黑体" w:cs="仿宋"/>
                <w:sz w:val="28"/>
                <w:szCs w:val="28"/>
              </w:rPr>
              <w:t>角色</w:t>
            </w:r>
          </w:p>
        </w:tc>
        <w:tc>
          <w:tcPr>
            <w:tcW w:w="2854" w:type="dxa"/>
            <w:gridSpan w:val="2"/>
            <w:vAlign w:val="center"/>
          </w:tcPr>
          <w:p>
            <w:pPr>
              <w:snapToGrid w:val="0"/>
              <w:spacing w:line="400" w:lineRule="exact"/>
              <w:jc w:val="center"/>
              <w:rPr>
                <w:rFonts w:hint="eastAsia" w:ascii="黑体" w:hAnsi="黑体" w:eastAsia="黑体"/>
                <w:sz w:val="28"/>
                <w:szCs w:val="28"/>
              </w:rPr>
            </w:pPr>
            <w:r>
              <w:rPr>
                <w:rFonts w:hint="eastAsia" w:ascii="黑体" w:hAnsi="黑体" w:eastAsia="黑体" w:cs="仿宋"/>
                <w:sz w:val="28"/>
                <w:szCs w:val="28"/>
              </w:rPr>
              <w:t>学分</w:t>
            </w:r>
          </w:p>
        </w:tc>
        <w:tc>
          <w:tcPr>
            <w:tcW w:w="2626" w:type="dxa"/>
            <w:vMerge w:val="restart"/>
            <w:vAlign w:val="center"/>
          </w:tcPr>
          <w:p>
            <w:pPr>
              <w:snapToGrid w:val="0"/>
              <w:spacing w:line="400" w:lineRule="exact"/>
              <w:jc w:val="center"/>
              <w:rPr>
                <w:rFonts w:hint="eastAsia" w:ascii="黑体" w:hAnsi="黑体" w:eastAsia="黑体"/>
                <w:sz w:val="28"/>
                <w:szCs w:val="28"/>
              </w:rPr>
            </w:pPr>
            <w:r>
              <w:rPr>
                <w:rFonts w:hint="eastAsia" w:ascii="黑体" w:hAnsi="黑体" w:eastAsia="黑体"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00" w:type="dxa"/>
            <w:vMerge w:val="continue"/>
            <w:vAlign w:val="center"/>
          </w:tcPr>
          <w:p>
            <w:pPr>
              <w:snapToGrid w:val="0"/>
              <w:spacing w:line="400" w:lineRule="exact"/>
              <w:ind w:firstLine="560" w:firstLineChars="200"/>
              <w:rPr>
                <w:rFonts w:hint="eastAsia" w:ascii="仿宋_GB2312" w:hAnsi="仿宋" w:eastAsia="仿宋_GB2312"/>
                <w:sz w:val="28"/>
                <w:szCs w:val="28"/>
              </w:rPr>
            </w:pPr>
          </w:p>
        </w:tc>
        <w:tc>
          <w:tcPr>
            <w:tcW w:w="2906" w:type="dxa"/>
            <w:gridSpan w:val="2"/>
            <w:vMerge w:val="continue"/>
            <w:vAlign w:val="center"/>
          </w:tcPr>
          <w:p>
            <w:pPr>
              <w:snapToGrid w:val="0"/>
              <w:spacing w:line="400" w:lineRule="exact"/>
              <w:ind w:firstLine="560" w:firstLineChars="200"/>
              <w:rPr>
                <w:rFonts w:hint="eastAsia" w:ascii="仿宋_GB2312" w:hAnsi="仿宋" w:eastAsia="仿宋_GB2312"/>
                <w:sz w:val="28"/>
                <w:szCs w:val="28"/>
              </w:rPr>
            </w:pPr>
          </w:p>
        </w:tc>
        <w:tc>
          <w:tcPr>
            <w:tcW w:w="1498" w:type="dxa"/>
            <w:vAlign w:val="center"/>
          </w:tcPr>
          <w:p>
            <w:pPr>
              <w:snapToGrid w:val="0"/>
              <w:spacing w:line="400" w:lineRule="exact"/>
              <w:rPr>
                <w:rFonts w:hint="eastAsia" w:ascii="黑体" w:hAnsi="黑体" w:eastAsia="黑体"/>
                <w:sz w:val="28"/>
                <w:szCs w:val="28"/>
              </w:rPr>
            </w:pPr>
            <w:r>
              <w:rPr>
                <w:rFonts w:hint="eastAsia" w:ascii="黑体" w:hAnsi="黑体" w:eastAsia="黑体" w:cs="仿宋"/>
                <w:sz w:val="28"/>
                <w:szCs w:val="28"/>
              </w:rPr>
              <w:t>首次（人）</w:t>
            </w:r>
          </w:p>
        </w:tc>
        <w:tc>
          <w:tcPr>
            <w:tcW w:w="1356" w:type="dxa"/>
            <w:vAlign w:val="center"/>
          </w:tcPr>
          <w:p>
            <w:pPr>
              <w:snapToGrid w:val="0"/>
              <w:spacing w:line="400" w:lineRule="exact"/>
              <w:jc w:val="center"/>
              <w:rPr>
                <w:rFonts w:hint="eastAsia" w:ascii="黑体" w:hAnsi="黑体" w:eastAsia="黑体"/>
                <w:sz w:val="28"/>
                <w:szCs w:val="28"/>
              </w:rPr>
            </w:pPr>
            <w:r>
              <w:rPr>
                <w:rFonts w:hint="eastAsia" w:ascii="黑体" w:hAnsi="黑体" w:eastAsia="黑体" w:cs="仿宋"/>
                <w:sz w:val="28"/>
                <w:szCs w:val="28"/>
              </w:rPr>
              <w:t>重复</w:t>
            </w:r>
          </w:p>
        </w:tc>
        <w:tc>
          <w:tcPr>
            <w:tcW w:w="2626" w:type="dxa"/>
            <w:vMerge w:val="continue"/>
            <w:vAlign w:val="center"/>
          </w:tcPr>
          <w:p>
            <w:pPr>
              <w:snapToGrid w:val="0"/>
              <w:spacing w:line="400" w:lineRule="exact"/>
              <w:ind w:firstLine="560" w:firstLineChars="200"/>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restart"/>
            <w:vAlign w:val="center"/>
          </w:tcPr>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师</w:t>
            </w:r>
          </w:p>
          <w:p>
            <w:pPr>
              <w:snapToGrid w:val="0"/>
              <w:spacing w:line="4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范</w:t>
            </w:r>
          </w:p>
          <w:p>
            <w:pPr>
              <w:snapToGrid w:val="0"/>
              <w:spacing w:line="4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类</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学</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生</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培</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养</w:t>
            </w:r>
          </w:p>
        </w:tc>
        <w:tc>
          <w:tcPr>
            <w:tcW w:w="2906" w:type="dxa"/>
            <w:gridSpan w:val="2"/>
            <w:vAlign w:val="center"/>
          </w:tcPr>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实践导师</w:t>
            </w:r>
          </w:p>
        </w:tc>
        <w:tc>
          <w:tcPr>
            <w:tcW w:w="1498" w:type="dxa"/>
            <w:vAlign w:val="center"/>
          </w:tcPr>
          <w:p>
            <w:pPr>
              <w:snapToGrid w:val="0"/>
              <w:spacing w:line="40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w:t>
            </w:r>
          </w:p>
        </w:tc>
        <w:tc>
          <w:tcPr>
            <w:tcW w:w="135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0.2累计</w:t>
            </w:r>
          </w:p>
        </w:tc>
        <w:tc>
          <w:tcPr>
            <w:tcW w:w="262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指导1名计1学分，每增加1人增加0.2学分，指导时间为1年。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continue"/>
            <w:vAlign w:val="center"/>
          </w:tcPr>
          <w:p>
            <w:pPr>
              <w:snapToGrid w:val="0"/>
              <w:spacing w:line="400" w:lineRule="exact"/>
              <w:ind w:firstLine="562" w:firstLineChars="200"/>
              <w:jc w:val="center"/>
              <w:rPr>
                <w:rFonts w:hint="eastAsia" w:ascii="仿宋_GB2312" w:hAnsi="仿宋" w:eastAsia="仿宋_GB2312"/>
                <w:b/>
                <w:sz w:val="28"/>
                <w:szCs w:val="28"/>
              </w:rPr>
            </w:pPr>
          </w:p>
        </w:tc>
        <w:tc>
          <w:tcPr>
            <w:tcW w:w="2906" w:type="dxa"/>
            <w:gridSpan w:val="2"/>
            <w:vAlign w:val="center"/>
          </w:tcPr>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实习指导教师</w:t>
            </w:r>
          </w:p>
        </w:tc>
        <w:tc>
          <w:tcPr>
            <w:tcW w:w="1498" w:type="dxa"/>
            <w:vAlign w:val="center"/>
          </w:tcPr>
          <w:p>
            <w:pPr>
              <w:snapToGrid w:val="0"/>
              <w:spacing w:line="40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w:t>
            </w:r>
          </w:p>
        </w:tc>
        <w:tc>
          <w:tcPr>
            <w:tcW w:w="135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0.2累计</w:t>
            </w:r>
          </w:p>
        </w:tc>
        <w:tc>
          <w:tcPr>
            <w:tcW w:w="262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指导1名计1学分，每增加1人增加0.2学分，指导时间为3个月至1学期。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continue"/>
            <w:vAlign w:val="center"/>
          </w:tcPr>
          <w:p>
            <w:pPr>
              <w:snapToGrid w:val="0"/>
              <w:spacing w:line="400" w:lineRule="exact"/>
              <w:ind w:firstLine="562" w:firstLineChars="200"/>
              <w:jc w:val="center"/>
              <w:rPr>
                <w:rFonts w:hint="eastAsia" w:ascii="仿宋_GB2312" w:hAnsi="仿宋" w:eastAsia="仿宋_GB2312"/>
                <w:b/>
                <w:sz w:val="28"/>
                <w:szCs w:val="28"/>
              </w:rPr>
            </w:pPr>
          </w:p>
        </w:tc>
        <w:tc>
          <w:tcPr>
            <w:tcW w:w="2906" w:type="dxa"/>
            <w:gridSpan w:val="2"/>
            <w:vAlign w:val="center"/>
          </w:tcPr>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院校内授课或报告</w:t>
            </w:r>
          </w:p>
        </w:tc>
        <w:tc>
          <w:tcPr>
            <w:tcW w:w="1498" w:type="dxa"/>
            <w:vAlign w:val="center"/>
          </w:tcPr>
          <w:p>
            <w:pPr>
              <w:snapToGrid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0.4</w:t>
            </w:r>
          </w:p>
        </w:tc>
        <w:tc>
          <w:tcPr>
            <w:tcW w:w="135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0.2累计</w:t>
            </w:r>
          </w:p>
        </w:tc>
        <w:tc>
          <w:tcPr>
            <w:tcW w:w="2626" w:type="dxa"/>
            <w:vAlign w:val="center"/>
          </w:tcPr>
          <w:p>
            <w:pPr>
              <w:snapToGrid w:val="0"/>
              <w:spacing w:line="400" w:lineRule="exact"/>
              <w:ind w:firstLine="280" w:firstLineChars="100"/>
              <w:rPr>
                <w:rFonts w:hint="eastAsia" w:ascii="仿宋_GB2312" w:hAnsi="仿宋" w:eastAsia="仿宋_GB2312"/>
                <w:sz w:val="28"/>
                <w:szCs w:val="28"/>
              </w:rPr>
            </w:pPr>
            <w:r>
              <w:rPr>
                <w:rFonts w:hint="eastAsia" w:ascii="仿宋_GB2312" w:hAnsi="仿宋" w:eastAsia="仿宋_GB2312" w:cs="仿宋"/>
                <w:sz w:val="28"/>
                <w:szCs w:val="28"/>
              </w:rPr>
              <w:t>一个单位时间计4学时折0.4学分。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restart"/>
            <w:vAlign w:val="center"/>
          </w:tcPr>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教</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师</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培</w:t>
            </w:r>
          </w:p>
          <w:p>
            <w:pPr>
              <w:snapToGrid w:val="0"/>
              <w:spacing w:line="400" w:lineRule="exact"/>
              <w:jc w:val="center"/>
              <w:rPr>
                <w:rFonts w:hint="eastAsia" w:ascii="仿宋_GB2312" w:hAnsi="仿宋" w:eastAsia="仿宋_GB2312"/>
                <w:b/>
                <w:sz w:val="28"/>
                <w:szCs w:val="28"/>
              </w:rPr>
            </w:pPr>
            <w:r>
              <w:rPr>
                <w:rFonts w:hint="eastAsia" w:ascii="仿宋_GB2312" w:hAnsi="仿宋" w:eastAsia="仿宋_GB2312" w:cs="仿宋"/>
                <w:b/>
                <w:sz w:val="28"/>
                <w:szCs w:val="28"/>
              </w:rPr>
              <w:t>训</w:t>
            </w:r>
          </w:p>
        </w:tc>
        <w:tc>
          <w:tcPr>
            <w:tcW w:w="590" w:type="dxa"/>
            <w:vMerge w:val="restart"/>
            <w:vAlign w:val="center"/>
          </w:tcPr>
          <w:p>
            <w:pPr>
              <w:snapToGrid w:val="0"/>
              <w:spacing w:line="400" w:lineRule="exact"/>
              <w:ind w:firstLine="560" w:firstLineChars="200"/>
              <w:rPr>
                <w:rFonts w:hint="eastAsia" w:ascii="仿宋_GB2312" w:hAnsi="仿宋" w:eastAsia="仿宋_GB2312"/>
                <w:sz w:val="28"/>
                <w:szCs w:val="28"/>
              </w:rPr>
            </w:pPr>
          </w:p>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培</w:t>
            </w:r>
          </w:p>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训</w:t>
            </w:r>
          </w:p>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者</w:t>
            </w:r>
          </w:p>
        </w:tc>
        <w:tc>
          <w:tcPr>
            <w:tcW w:w="2316" w:type="dxa"/>
            <w:vAlign w:val="center"/>
          </w:tcPr>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集中培训授课或报告</w:t>
            </w:r>
          </w:p>
        </w:tc>
        <w:tc>
          <w:tcPr>
            <w:tcW w:w="1498" w:type="dxa"/>
            <w:vAlign w:val="center"/>
          </w:tcPr>
          <w:p>
            <w:pPr>
              <w:snapToGrid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0.4</w:t>
            </w:r>
          </w:p>
        </w:tc>
        <w:tc>
          <w:tcPr>
            <w:tcW w:w="135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0.2累计</w:t>
            </w:r>
          </w:p>
        </w:tc>
        <w:tc>
          <w:tcPr>
            <w:tcW w:w="2626" w:type="dxa"/>
            <w:vAlign w:val="center"/>
          </w:tcPr>
          <w:p>
            <w:pPr>
              <w:snapToGrid w:val="0"/>
              <w:spacing w:line="400" w:lineRule="exact"/>
              <w:ind w:firstLine="280" w:firstLineChars="100"/>
              <w:rPr>
                <w:rFonts w:hint="eastAsia" w:ascii="仿宋_GB2312" w:hAnsi="仿宋" w:eastAsia="仿宋_GB2312"/>
                <w:sz w:val="28"/>
                <w:szCs w:val="28"/>
              </w:rPr>
            </w:pPr>
            <w:r>
              <w:rPr>
                <w:rFonts w:hint="eastAsia" w:ascii="仿宋_GB2312" w:hAnsi="仿宋" w:eastAsia="仿宋_GB2312" w:cs="仿宋"/>
                <w:sz w:val="28"/>
                <w:szCs w:val="28"/>
              </w:rPr>
              <w:t>一个单位时间计4学时折0.4学分。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900" w:type="dxa"/>
            <w:vMerge w:val="continue"/>
            <w:vAlign w:val="center"/>
          </w:tcPr>
          <w:p>
            <w:pPr>
              <w:snapToGrid w:val="0"/>
              <w:spacing w:line="400" w:lineRule="exact"/>
              <w:ind w:firstLine="560" w:firstLineChars="200"/>
              <w:rPr>
                <w:rFonts w:hint="eastAsia" w:ascii="仿宋_GB2312" w:hAnsi="仿宋" w:eastAsia="仿宋_GB2312"/>
                <w:sz w:val="28"/>
                <w:szCs w:val="28"/>
              </w:rPr>
            </w:pPr>
          </w:p>
        </w:tc>
        <w:tc>
          <w:tcPr>
            <w:tcW w:w="590" w:type="dxa"/>
            <w:vMerge w:val="continue"/>
            <w:vAlign w:val="center"/>
          </w:tcPr>
          <w:p>
            <w:pPr>
              <w:snapToGrid w:val="0"/>
              <w:spacing w:line="400" w:lineRule="exact"/>
              <w:ind w:firstLine="560" w:firstLineChars="200"/>
              <w:rPr>
                <w:rFonts w:hint="eastAsia" w:ascii="仿宋_GB2312" w:hAnsi="仿宋" w:eastAsia="仿宋_GB2312"/>
                <w:sz w:val="28"/>
                <w:szCs w:val="28"/>
              </w:rPr>
            </w:pPr>
          </w:p>
        </w:tc>
        <w:tc>
          <w:tcPr>
            <w:tcW w:w="231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全员培训授课或管理</w:t>
            </w:r>
          </w:p>
        </w:tc>
        <w:tc>
          <w:tcPr>
            <w:tcW w:w="2854" w:type="dxa"/>
            <w:gridSpan w:val="2"/>
            <w:vAlign w:val="center"/>
          </w:tcPr>
          <w:p>
            <w:pPr>
              <w:snapToGrid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冲抵相应项目的</w:t>
            </w:r>
          </w:p>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全部学分</w:t>
            </w:r>
          </w:p>
        </w:tc>
        <w:tc>
          <w:tcPr>
            <w:tcW w:w="262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按培训方案规定的学时折算学分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 w:type="dxa"/>
            <w:vMerge w:val="continue"/>
            <w:vAlign w:val="center"/>
          </w:tcPr>
          <w:p>
            <w:pPr>
              <w:snapToGrid w:val="0"/>
              <w:spacing w:line="400" w:lineRule="exact"/>
              <w:ind w:firstLine="560" w:firstLineChars="200"/>
              <w:rPr>
                <w:rFonts w:hint="eastAsia" w:ascii="仿宋_GB2312" w:hAnsi="仿宋" w:eastAsia="仿宋_GB2312"/>
                <w:sz w:val="28"/>
                <w:szCs w:val="28"/>
              </w:rPr>
            </w:pPr>
          </w:p>
        </w:tc>
        <w:tc>
          <w:tcPr>
            <w:tcW w:w="2906" w:type="dxa"/>
            <w:gridSpan w:val="2"/>
            <w:vAlign w:val="center"/>
          </w:tcPr>
          <w:p>
            <w:pPr>
              <w:snapToGrid w:val="0"/>
              <w:spacing w:line="400" w:lineRule="exact"/>
              <w:ind w:firstLine="280" w:firstLineChars="100"/>
              <w:rPr>
                <w:rFonts w:hint="eastAsia" w:ascii="仿宋_GB2312" w:hAnsi="仿宋" w:eastAsia="仿宋_GB2312"/>
                <w:sz w:val="28"/>
                <w:szCs w:val="28"/>
              </w:rPr>
            </w:pPr>
            <w:r>
              <w:rPr>
                <w:rFonts w:hint="eastAsia" w:ascii="仿宋_GB2312" w:hAnsi="仿宋" w:eastAsia="仿宋_GB2312" w:cs="仿宋"/>
                <w:sz w:val="28"/>
                <w:szCs w:val="28"/>
              </w:rPr>
              <w:t>新入职教师帮带指导教师</w:t>
            </w:r>
          </w:p>
        </w:tc>
        <w:tc>
          <w:tcPr>
            <w:tcW w:w="1498" w:type="dxa"/>
            <w:vAlign w:val="center"/>
          </w:tcPr>
          <w:p>
            <w:pPr>
              <w:snapToGrid w:val="0"/>
              <w:spacing w:line="40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1</w:t>
            </w:r>
          </w:p>
        </w:tc>
        <w:tc>
          <w:tcPr>
            <w:tcW w:w="135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0.2累计</w:t>
            </w:r>
          </w:p>
        </w:tc>
        <w:tc>
          <w:tcPr>
            <w:tcW w:w="2626" w:type="dxa"/>
            <w:vAlign w:val="center"/>
          </w:tcPr>
          <w:p>
            <w:pPr>
              <w:snapToGrid w:val="0"/>
              <w:spacing w:line="400" w:lineRule="exact"/>
              <w:rPr>
                <w:rFonts w:hint="eastAsia" w:ascii="仿宋_GB2312" w:hAnsi="仿宋" w:eastAsia="仿宋_GB2312"/>
                <w:sz w:val="28"/>
                <w:szCs w:val="28"/>
              </w:rPr>
            </w:pPr>
            <w:r>
              <w:rPr>
                <w:rFonts w:hint="eastAsia" w:ascii="仿宋_GB2312" w:hAnsi="仿宋" w:eastAsia="仿宋_GB2312" w:cs="仿宋"/>
                <w:sz w:val="28"/>
                <w:szCs w:val="28"/>
              </w:rPr>
              <w:t>指导1名计1学分，每增加1人增加0.2学分，指导时间为一年。</w:t>
            </w:r>
          </w:p>
        </w:tc>
      </w:tr>
    </w:tbl>
    <w:p>
      <w:pPr>
        <w:numPr>
          <w:ilvl w:val="0"/>
          <w:numId w:val="1"/>
        </w:numPr>
        <w:spacing w:line="58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教师参加省级相关文件规定的其他全员培训项目时，其所获学分可直接冲抵全员培训学分。</w:t>
      </w:r>
    </w:p>
    <w:p>
      <w:pPr>
        <w:numPr>
          <w:ilvl w:val="0"/>
          <w:numId w:val="1"/>
        </w:numPr>
        <w:spacing w:line="580" w:lineRule="exact"/>
        <w:ind w:firstLine="640"/>
        <w:rPr>
          <w:rFonts w:hint="eastAsia" w:ascii="仿宋_GB2312" w:hAnsi="宋体" w:eastAsia="仿宋_GB2312" w:cs="仿宋"/>
          <w:sz w:val="32"/>
          <w:szCs w:val="32"/>
        </w:rPr>
      </w:pPr>
      <w:r>
        <w:rPr>
          <w:rFonts w:hint="eastAsia" w:ascii="仿宋_GB2312" w:hAnsi="宋体" w:eastAsia="仿宋_GB2312" w:cs="仿宋"/>
          <w:sz w:val="32"/>
          <w:szCs w:val="32"/>
        </w:rPr>
        <w:t>教师自主自费参加与本人教授学科相关的学习并获得合格证书的，经所在学校审核，对应层级的教育行政管理部门复核后，其实际学时可折算冲抵任一层级的学分，但每学年冲抵最高不超过3分。</w:t>
      </w:r>
    </w:p>
    <w:p>
      <w:pPr>
        <w:spacing w:line="580" w:lineRule="exact"/>
        <w:jc w:val="center"/>
        <w:rPr>
          <w:rFonts w:hint="eastAsia" w:ascii="黑体" w:hAnsi="黑体" w:eastAsia="黑体" w:cs="仿宋"/>
          <w:sz w:val="32"/>
          <w:szCs w:val="32"/>
        </w:rPr>
      </w:pPr>
      <w:r>
        <w:rPr>
          <w:rFonts w:hint="eastAsia" w:ascii="黑体" w:hAnsi="黑体" w:eastAsia="黑体" w:cs="仿宋"/>
          <w:sz w:val="32"/>
          <w:szCs w:val="32"/>
        </w:rPr>
        <w:t>第四章  学分登记与审核</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第九条  </w:t>
      </w:r>
      <w:r>
        <w:rPr>
          <w:rFonts w:hint="eastAsia" w:ascii="仿宋_GB2312" w:hAnsi="宋体" w:eastAsia="仿宋_GB2312" w:cs="仿宋"/>
          <w:sz w:val="32"/>
          <w:szCs w:val="32"/>
        </w:rPr>
        <w:t>本省学分管理实行“平台管理、分层负责”的管理模式。省教育厅依托全国教师管理信息系统搭建“江西省中小学教师培训与学分管理平台”（以下简称“培训与学分管理平台”），承担本管理办法规定的各级各类培训项目申报与审核以及培训学分登记与审核的管理功能。</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一）省教育厅负责全省中小学教师培训学分管理政策的制定、指导与监督，负责发布、审核、管理省级统筹培训项目。省教师资格认定服务和培训中心会同南昌师范学院作为全省中小学教师培训学分的业务管理机构，负责“培训与学分管理平台”的建设、管理和使用，负责本级培训学分认定，指导各地开展培训学分管理工作，对各地培训学分管理工作进行监测，适时发布周期监测报告。</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二）各设区市、县（市、区）教育行政部门负责发布、审核、管理本级统筹培训项目，负责辖区内中小学（幼儿园）校级自主培训项目的审核与督查，负责本级培训学分认定。县级教师发展中心（教师进修学校）是当地中小学教师培训学分管理的业务执行机构，负责当地“培训与学分管理平台” 的维护、管理和使用，具体负责当地教师培训学分的登记、审核与验证工作。</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（三）中小学（幼儿园）负责校级自主培训项目的申报、组织与实施。建立教师参训档案，负责本校（园）教师培训学分的登记、审核、上报。</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第十条  </w:t>
      </w:r>
      <w:r>
        <w:rPr>
          <w:rFonts w:hint="eastAsia" w:ascii="仿宋_GB2312" w:hAnsi="宋体" w:eastAsia="仿宋_GB2312" w:cs="仿宋"/>
          <w:sz w:val="32"/>
          <w:szCs w:val="32"/>
        </w:rPr>
        <w:t>各级教育行政部门及经授权的承训机构依职权负责辖区内中小学教师培训学分的登记与审核工作。学分登记和审核工作按学年度进行，即从当年的9月1日到次年的8月31日。</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一）培训项目的申报与审核。每年9月1日-9月15日，各承训机构、中小学校（幼儿园）通过“培训与学分管理平台”申报年度培训计划，并提交涵盖培训内容和培训学时的申报方案，各对应层级的教育行政管理部门负责审核。</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二）培训学分的登记与审核。统筹培训学分由承训机构在培训结束后10个工作日内将参训教师学分获得情况上传至“培训与学分管理平台”，由对应层级的教育行政管理部门负责审核。校级自主培训学分由中小学校（幼儿园）在学年结束后10个工作日内将本学年本校教师校级自主培训所获学分上传至“培训与学分管理平台”，由对应层级的教育行政管理部门负责审核。</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三）冲抵学分的登记与审核。每年8月1日前，由中小学教师本人向所在中小学（幼儿园）集中申报本学年拟冲抵学分，所在中小学（幼儿园）初审并汇总登记后，交对应层级的教育行政管理部门审核，各教育行政管理部门应在8月31号之前将审核结果反馈至各中小学（幼儿园）。</w:t>
      </w:r>
    </w:p>
    <w:p>
      <w:pPr>
        <w:spacing w:line="580" w:lineRule="exact"/>
        <w:jc w:val="center"/>
        <w:rPr>
          <w:rFonts w:hint="eastAsia" w:ascii="黑体" w:hAnsi="黑体" w:eastAsia="黑体" w:cs="仿宋"/>
          <w:sz w:val="32"/>
          <w:szCs w:val="32"/>
        </w:rPr>
      </w:pPr>
      <w:bookmarkStart w:id="5" w:name="_Toc482566683"/>
      <w:r>
        <w:rPr>
          <w:rFonts w:hint="eastAsia" w:ascii="黑体" w:hAnsi="黑体" w:eastAsia="黑体" w:cs="仿宋"/>
          <w:sz w:val="32"/>
          <w:szCs w:val="32"/>
        </w:rPr>
        <w:t>第五章  培训考核与</w:t>
      </w:r>
      <w:bookmarkEnd w:id="5"/>
      <w:r>
        <w:rPr>
          <w:rFonts w:hint="eastAsia" w:ascii="黑体" w:hAnsi="黑体" w:eastAsia="黑体" w:cs="仿宋"/>
          <w:sz w:val="32"/>
          <w:szCs w:val="32"/>
        </w:rPr>
        <w:t>监管</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第十一条   </w:t>
      </w:r>
      <w:r>
        <w:rPr>
          <w:rFonts w:hint="eastAsia" w:ascii="仿宋_GB2312" w:hAnsi="宋体" w:eastAsia="仿宋_GB2312" w:cs="仿宋"/>
          <w:sz w:val="32"/>
          <w:szCs w:val="32"/>
        </w:rPr>
        <w:t>各级各类培训项目（专题）和活动，都要建立细化的考核标准和可操作的实施办法，将出勤率、参与度、培训纪律、作业完成、实际取得的培训成效等情况纳入考核范围，实行定性与定量相结合，考查与考试相结合，投入时间与实际成效相结合，真实考核参训教师的学习态度、能力提升状况和实际培训效果。</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第十二条   </w:t>
      </w:r>
      <w:r>
        <w:rPr>
          <w:rFonts w:hint="eastAsia" w:ascii="仿宋_GB2312" w:hAnsi="宋体" w:eastAsia="仿宋_GB2312" w:cs="仿宋"/>
          <w:sz w:val="32"/>
          <w:szCs w:val="32"/>
        </w:rPr>
        <w:t>按照“谁主办，谁考核；谁承办、考核谁”的原则组织和实施考核。统筹培训计划下达部门负责考核承训机构；承训机构负责考核参训学员；对应层级的教育行政管理部门负责考核学校的校级自主培训项目执行情况；学校（幼儿园）负责考核本校（园）教师的参训情况。</w:t>
      </w:r>
    </w:p>
    <w:p>
      <w:pPr>
        <w:spacing w:line="580" w:lineRule="exact"/>
        <w:ind w:firstLine="643" w:firstLineChars="200"/>
        <w:rPr>
          <w:rFonts w:hint="eastAsia" w:ascii="仿宋_GB2312" w:hAnsi="宋体" w:eastAsia="仿宋_GB2312" w:cs="仿宋"/>
          <w:b/>
          <w:sz w:val="32"/>
          <w:szCs w:val="32"/>
        </w:rPr>
      </w:pPr>
      <w:r>
        <w:rPr>
          <w:rFonts w:hint="eastAsia" w:ascii="仿宋_GB2312" w:hAnsi="宋体" w:eastAsia="仿宋_GB2312" w:cs="仿宋"/>
          <w:b/>
          <w:sz w:val="32"/>
          <w:szCs w:val="32"/>
        </w:rPr>
        <w:t xml:space="preserve">第十三条   </w:t>
      </w:r>
      <w:r>
        <w:rPr>
          <w:rFonts w:hint="eastAsia" w:ascii="仿宋_GB2312" w:hAnsi="宋体" w:eastAsia="仿宋_GB2312" w:cs="仿宋"/>
          <w:sz w:val="32"/>
          <w:szCs w:val="32"/>
        </w:rPr>
        <w:t>建立较为完备的考核体系，通过对培训项目的组织与实施、培训机构的管理与资质、培训学分的认定和使用情况进行考核，做实教师培训学分管理。</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一）考核统筹培训执行情况。将当年统筹培训项目完成情况与次年培训任务下达挂钩，建立统筹培训考核机制，由上级教育行政部门或第三方教育评估机构定期对统筹项目设计的科学性、项目执行的有效性、项目管理的规范性等内容开展专项考核。对项目管理工作扎实、培训成效显著的单位给予通报表扬，并在国家和省级培训任务下达方面予以倾斜支持。</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（二）考核校级自主培训项目执行情况。建立校级自主培训考核机制、建立不定期专项督导制度，对管理松散、执行不当、工作无序的校（园）下达限时整改通知书并予以通报。</w:t>
      </w:r>
    </w:p>
    <w:p>
      <w:pPr>
        <w:spacing w:line="58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三）考核承训机构的培训资质。建立承训机构培训工作抽查考核机制，由省教师资格认定服务和培训中心或第三方教育评估机构对承训机构所承担项目的培训质量和培训满意度进行综合考评。对综合考评不合格者，取消其承担该类项目的培训资质。</w:t>
      </w:r>
    </w:p>
    <w:p>
      <w:pPr>
        <w:spacing w:line="580" w:lineRule="exact"/>
        <w:jc w:val="center"/>
        <w:rPr>
          <w:rFonts w:hint="eastAsia" w:ascii="黑体" w:hAnsi="黑体" w:eastAsia="黑体" w:cs="仿宋"/>
          <w:sz w:val="32"/>
          <w:szCs w:val="32"/>
        </w:rPr>
      </w:pPr>
      <w:r>
        <w:rPr>
          <w:rFonts w:hint="eastAsia" w:ascii="黑体" w:hAnsi="黑体" w:eastAsia="黑体" w:cs="仿宋"/>
          <w:sz w:val="32"/>
          <w:szCs w:val="32"/>
        </w:rPr>
        <w:t>第六章  学分使用</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第十四条  </w:t>
      </w:r>
      <w:r>
        <w:rPr>
          <w:rFonts w:hint="eastAsia" w:ascii="仿宋_GB2312" w:hAnsi="宋体" w:eastAsia="仿宋_GB2312" w:cs="仿宋"/>
          <w:sz w:val="32"/>
          <w:szCs w:val="32"/>
        </w:rPr>
        <w:t>中小学教师完成参训任务并经考核合格后，由承训机构上报、对应层级教育行政部门认定，方可获得相应培训学分。中小学教师学年度培训学分及周期内总培训学分均达标时，该培训周期培训考核视为合格。中小学教师学年度培训学分及周期内总培训学分均超额时，各级教育行政部门可依照当地具体情况予以适当奖励。</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第十五条   </w:t>
      </w:r>
      <w:r>
        <w:rPr>
          <w:rFonts w:hint="eastAsia" w:ascii="仿宋_GB2312" w:hAnsi="宋体" w:eastAsia="仿宋_GB2312" w:cs="仿宋"/>
          <w:sz w:val="32"/>
          <w:szCs w:val="32"/>
        </w:rPr>
        <w:t>各级教育行政部门和学校（园）要严格认定、充分使用培训学分。将培训学分取得情况与教师职务（职称）评聘、绩效考核、评优奖励及教师资格定期注册相挂钩，并作为校（园）长考核、任用、晋级的必备条件和重要依据。凡学年培训学分未达最低要求的，本学年培训考核不合格；凡周期届满时，未达最低要求的，视为周期培训考核不合格，其教师资格不予注册。</w:t>
      </w:r>
    </w:p>
    <w:p>
      <w:pPr>
        <w:spacing w:line="580" w:lineRule="exact"/>
        <w:jc w:val="center"/>
        <w:rPr>
          <w:rFonts w:hint="eastAsia" w:ascii="黑体" w:hAnsi="黑体" w:eastAsia="黑体" w:cs="仿宋"/>
          <w:sz w:val="32"/>
          <w:szCs w:val="32"/>
        </w:rPr>
      </w:pPr>
      <w:bookmarkStart w:id="6" w:name="_Toc482566686"/>
      <w:r>
        <w:rPr>
          <w:rFonts w:hint="eastAsia" w:ascii="黑体" w:hAnsi="黑体" w:eastAsia="黑体" w:cs="仿宋"/>
          <w:sz w:val="32"/>
          <w:szCs w:val="32"/>
        </w:rPr>
        <w:t>第七章  附  则</w:t>
      </w:r>
      <w:bookmarkEnd w:id="6"/>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第十六条  </w:t>
      </w:r>
      <w:r>
        <w:rPr>
          <w:rFonts w:hint="eastAsia" w:ascii="仿宋_GB2312" w:hAnsi="宋体" w:eastAsia="仿宋_GB2312" w:cs="仿宋"/>
          <w:sz w:val="32"/>
          <w:szCs w:val="32"/>
        </w:rPr>
        <w:t>本办法所称中小学教师，是指幼儿园，特殊教育学校，普通中小学，各级教育研训机构中持有《教师从业资格证书》的在岗人员。</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 xml:space="preserve">第十七条  </w:t>
      </w:r>
      <w:r>
        <w:rPr>
          <w:rFonts w:hint="eastAsia" w:ascii="仿宋_GB2312" w:hAnsi="宋体" w:eastAsia="仿宋_GB2312" w:cs="仿宋"/>
          <w:sz w:val="32"/>
          <w:szCs w:val="32"/>
        </w:rPr>
        <w:t>各市、县（区）教育行政部门要根据本办法精神，结合当地实际，及时制定具体实施细则。</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第十八条</w:t>
      </w:r>
      <w:r>
        <w:rPr>
          <w:rFonts w:hint="eastAsia" w:ascii="仿宋_GB2312" w:hAnsi="宋体" w:eastAsia="仿宋_GB2312" w:cs="仿宋"/>
          <w:sz w:val="32"/>
          <w:szCs w:val="32"/>
        </w:rPr>
        <w:t xml:space="preserve">  建立申诉制度。中小学教师可查询本人学分登记审核情况，对登记审核情况有异议的，可在审核结束3个月内提出书面申诉并附证明材料。教育行政部门依职权受理后，应于1个月内予以处理并将处理结果告知其本人。</w:t>
      </w:r>
    </w:p>
    <w:p>
      <w:pPr>
        <w:spacing w:line="580" w:lineRule="exact"/>
        <w:ind w:firstLine="643" w:firstLineChars="200"/>
        <w:rPr>
          <w:rFonts w:hint="eastAsia" w:ascii="仿宋_GB2312" w:hAnsi="宋体" w:eastAsia="仿宋_GB2312" w:cs="仿宋"/>
          <w:sz w:val="32"/>
          <w:szCs w:val="32"/>
        </w:rPr>
      </w:pPr>
      <w:r>
        <w:rPr>
          <w:rFonts w:hint="eastAsia" w:ascii="仿宋_GB2312" w:hAnsi="宋体" w:eastAsia="仿宋_GB2312" w:cs="仿宋"/>
          <w:b/>
          <w:sz w:val="32"/>
          <w:szCs w:val="32"/>
        </w:rPr>
        <w:t>第十九条</w:t>
      </w:r>
      <w:r>
        <w:rPr>
          <w:rFonts w:hint="eastAsia" w:ascii="仿宋_GB2312" w:hAnsi="宋体" w:eastAsia="仿宋_GB2312" w:cs="仿宋"/>
          <w:sz w:val="32"/>
          <w:szCs w:val="32"/>
        </w:rPr>
        <w:t xml:space="preserve">  本办法自颁布之日起执行。</w:t>
      </w:r>
    </w:p>
    <w:p>
      <w:pPr>
        <w:spacing w:line="580" w:lineRule="exact"/>
        <w:ind w:firstLine="643" w:firstLineChars="200"/>
        <w:rPr>
          <w:rFonts w:hint="eastAsia" w:ascii="宋体" w:hAnsi="宋体" w:cs="仿宋"/>
          <w:sz w:val="32"/>
          <w:szCs w:val="32"/>
        </w:rPr>
      </w:pPr>
      <w:r>
        <w:rPr>
          <w:rFonts w:hint="eastAsia" w:ascii="仿宋_GB2312" w:hAnsi="宋体" w:eastAsia="仿宋_GB2312" w:cs="仿宋"/>
          <w:b/>
          <w:sz w:val="32"/>
          <w:szCs w:val="32"/>
        </w:rPr>
        <w:t>第二十条</w:t>
      </w:r>
      <w:r>
        <w:rPr>
          <w:rFonts w:hint="eastAsia" w:ascii="仿宋_GB2312" w:hAnsi="宋体" w:eastAsia="仿宋_GB2312" w:cs="仿宋"/>
          <w:sz w:val="32"/>
          <w:szCs w:val="32"/>
        </w:rPr>
        <w:t xml:space="preserve">  本办法由江西省教育厅负责解</w:t>
      </w:r>
      <w:r>
        <w:rPr>
          <w:rFonts w:hint="eastAsia" w:ascii="宋体" w:hAnsi="宋体" w:cs="仿宋"/>
          <w:sz w:val="32"/>
          <w:szCs w:val="32"/>
        </w:rPr>
        <w:t>释。</w:t>
      </w:r>
    </w:p>
    <w:p>
      <w:pPr>
        <w:spacing w:line="420" w:lineRule="exact"/>
        <w:rPr>
          <w:rFonts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hint="eastAsia" w:ascii="仿宋" w:hAnsi="仿宋" w:eastAsia="仿宋" w:cs="仿宋"/>
          <w:color w:val="000000"/>
          <w:sz w:val="24"/>
        </w:rPr>
      </w:pPr>
    </w:p>
    <w:p>
      <w:pPr>
        <w:spacing w:line="420" w:lineRule="exact"/>
        <w:rPr>
          <w:rFonts w:ascii="仿宋" w:hAnsi="仿宋" w:eastAsia="仿宋" w:cs="仿宋"/>
          <w:color w:val="000000"/>
          <w:sz w:val="24"/>
        </w:rPr>
      </w:pPr>
    </w:p>
    <w:p>
      <w:pPr>
        <w:pBdr>
          <w:top w:val="single" w:color="000000" w:sz="6" w:space="1"/>
          <w:bottom w:val="single" w:color="000000" w:sz="6" w:space="1"/>
        </w:pBdr>
        <w:spacing w:line="520" w:lineRule="exact"/>
        <w:jc w:val="center"/>
        <w:rPr>
          <w:rFonts w:ascii="仿宋_GB2312" w:hAnsi="仿宋" w:eastAsia="仿宋_GB2312" w:cs="仿宋"/>
          <w:color w:val="000000"/>
          <w:sz w:val="32"/>
          <w:szCs w:val="32"/>
        </w:rPr>
      </w:pPr>
      <w:r>
        <w:rPr>
          <w:rFonts w:hint="eastAsia" w:ascii="仿宋_GB2312" w:hAnsi="仿宋" w:eastAsia="仿宋_GB2312" w:cs="仿宋"/>
          <w:color w:val="000000"/>
          <w:sz w:val="32"/>
          <w:szCs w:val="32"/>
        </w:rPr>
        <w:t>江西省教育厅办公室               2018年1月10日印发</w:t>
      </w:r>
    </w:p>
    <w:p>
      <w:pPr>
        <w:ind w:left="1050" w:leftChars="500" w:firstLine="3840" w:firstLineChars="1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FC97"/>
    <w:multiLevelType w:val="singleLevel"/>
    <w:tmpl w:val="5A24FC9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E219A"/>
    <w:rsid w:val="00055B5E"/>
    <w:rsid w:val="00143701"/>
    <w:rsid w:val="00A21B97"/>
    <w:rsid w:val="00B66117"/>
    <w:rsid w:val="00B85F42"/>
    <w:rsid w:val="03A731DC"/>
    <w:rsid w:val="0C5E219A"/>
    <w:rsid w:val="0E9B0343"/>
    <w:rsid w:val="34FB2309"/>
    <w:rsid w:val="64AF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70" w:lineRule="atLeast"/>
      <w:jc w:val="left"/>
    </w:pPr>
    <w:rPr>
      <w:rFonts w:cs="Times New Roman"/>
      <w:kern w:val="0"/>
      <w:sz w:val="24"/>
    </w:rPr>
  </w:style>
  <w:style w:type="character" w:styleId="9">
    <w:name w:val="FollowedHyperlink"/>
    <w:basedOn w:val="8"/>
    <w:qFormat/>
    <w:uiPriority w:val="0"/>
    <w:rPr>
      <w:color w:val="222222"/>
      <w:u w:val="none"/>
    </w:rPr>
  </w:style>
  <w:style w:type="character" w:styleId="10">
    <w:name w:val="Hyperlink"/>
    <w:basedOn w:val="8"/>
    <w:qFormat/>
    <w:uiPriority w:val="0"/>
    <w:rPr>
      <w:color w:val="222222"/>
      <w:u w:val="non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1065</Words>
  <Characters>6072</Characters>
  <Lines>50</Lines>
  <Paragraphs>14</Paragraphs>
  <TotalTime>1</TotalTime>
  <ScaleCrop>false</ScaleCrop>
  <LinksUpToDate>false</LinksUpToDate>
  <CharactersWithSpaces>7123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2019-04-28T02:49:00Z</dcterms:created>
  <dc:creator>Administrator</dc:creator>
  <cp:lastModifiedBy>user</cp:lastModifiedBy>
  <cp:lastPrinted>2019-04-30T02:11:00Z</cp:lastPrinted>
  <dcterms:modified xsi:type="dcterms:W3CDTF">2019-05-06T02:35:03Z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