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洪教体艺字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20号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南昌市教育局关于转发《江西省教育厅</w:t>
      </w:r>
      <w:r>
        <w:rPr>
          <w:rFonts w:hint="eastAsia" w:ascii="宋体" w:hAnsi="宋体" w:eastAsia="宋体" w:cs="宋体"/>
          <w:b/>
          <w:bCs/>
          <w:sz w:val="44"/>
          <w:szCs w:val="44"/>
          <w:lang w:val="en-US" w:eastAsia="zh-CN"/>
        </w:rPr>
        <w:t xml:space="preserve"> 江西省军区战备建设局</w:t>
      </w:r>
      <w:r>
        <w:rPr>
          <w:rFonts w:hint="eastAsia" w:ascii="宋体" w:hAnsi="宋体" w:eastAsia="宋体" w:cs="宋体"/>
          <w:b/>
          <w:bCs/>
          <w:sz w:val="44"/>
          <w:szCs w:val="44"/>
          <w:lang w:eastAsia="zh-CN"/>
        </w:rPr>
        <w:t>关于做好</w:t>
      </w:r>
      <w:r>
        <w:rPr>
          <w:rFonts w:hint="eastAsia" w:ascii="宋体" w:hAnsi="宋体" w:eastAsia="宋体" w:cs="宋体"/>
          <w:b/>
          <w:bCs/>
          <w:sz w:val="44"/>
          <w:szCs w:val="44"/>
          <w:lang w:val="en-US" w:eastAsia="zh-CN"/>
        </w:rPr>
        <w:t>2019年学生军事训练工作的通知</w:t>
      </w:r>
      <w:r>
        <w:rPr>
          <w:rFonts w:hint="eastAsia" w:ascii="宋体" w:hAnsi="宋体" w:eastAsia="宋体" w:cs="宋体"/>
          <w:b/>
          <w:bCs/>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各县（区）教科体局、各开发区（新区）教办(中心)，局属学校、省属事业单位办学校、市管民办学历教育学校：</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为深入贯彻落实江西省教育厅、江西省军区关于做好2019年高中学生军事训练指示精神，现将《江西省教育厅 江西省军区战备建设局关于做好2019年学生军事训练工作的通知》（赣教体艺字</w:t>
      </w:r>
      <w:r>
        <w:rPr>
          <w:rFonts w:hint="eastAsia" w:ascii="宋体" w:hAnsi="宋体" w:eastAsia="宋体" w:cs="宋体"/>
          <w:b w:val="0"/>
          <w:bCs w:val="0"/>
          <w:sz w:val="32"/>
          <w:szCs w:val="32"/>
          <w:lang w:val="en-US" w:eastAsia="zh-CN"/>
        </w:rPr>
        <w:t>〔2019</w:t>
      </w:r>
      <w:r>
        <w:rPr>
          <w:rFonts w:hint="eastAsia" w:ascii="仿宋" w:hAnsi="仿宋" w:eastAsia="仿宋" w:cs="仿宋"/>
          <w:b w:val="0"/>
          <w:bCs w:val="0"/>
          <w:sz w:val="32"/>
          <w:szCs w:val="32"/>
          <w:lang w:val="en-US" w:eastAsia="zh-CN"/>
        </w:rPr>
        <w:t>〕15号）转发给你们，请按文件要求贯彻执行，并就有关事项通知如下：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高中阶段学校开展学生军训，是《国防法》《国防教育法》等法规的明确要求，南昌市各高中阶段学校要严格落实不少于7天的集中军事训练。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pacing w:val="-13"/>
          <w:sz w:val="32"/>
          <w:szCs w:val="32"/>
          <w:lang w:val="en-US" w:eastAsia="zh-CN"/>
        </w:rPr>
        <w:t>高中阶段学校开展学生军训时，一是要严格军训，教学、训练内容和课时要有保证，确保学生军训“不变形、不变味、不变色”。二是要规范军训，学校要按照《南昌市教育局关于公布2019年全市高中阶段学校学生军训帮训单位的通知》（文件下载网址：</w:t>
      </w:r>
      <w:r>
        <w:rPr>
          <w:rFonts w:hint="eastAsia" w:ascii="仿宋" w:hAnsi="仿宋" w:eastAsia="仿宋" w:cs="仿宋"/>
          <w:b w:val="0"/>
          <w:bCs w:val="0"/>
          <w:color w:val="auto"/>
          <w:spacing w:val="-23"/>
          <w:w w:val="90"/>
          <w:sz w:val="32"/>
          <w:szCs w:val="32"/>
          <w:u w:val="none"/>
          <w:lang w:val="en-US" w:eastAsia="zh-CN"/>
        </w:rPr>
        <w:fldChar w:fldCharType="begin"/>
      </w:r>
      <w:r>
        <w:rPr>
          <w:rFonts w:hint="eastAsia" w:ascii="仿宋" w:hAnsi="仿宋" w:eastAsia="仿宋" w:cs="仿宋"/>
          <w:b w:val="0"/>
          <w:bCs w:val="0"/>
          <w:color w:val="auto"/>
          <w:spacing w:val="-23"/>
          <w:w w:val="90"/>
          <w:sz w:val="32"/>
          <w:szCs w:val="32"/>
          <w:u w:val="none"/>
          <w:lang w:val="en-US" w:eastAsia="zh-CN"/>
        </w:rPr>
        <w:instrText xml:space="preserve"> HYPERLINK "http://edu.nc.gov.cn/ncjyj/twyc/" </w:instrText>
      </w:r>
      <w:r>
        <w:rPr>
          <w:rFonts w:hint="eastAsia" w:ascii="仿宋" w:hAnsi="仿宋" w:eastAsia="仿宋" w:cs="仿宋"/>
          <w:b w:val="0"/>
          <w:bCs w:val="0"/>
          <w:color w:val="auto"/>
          <w:spacing w:val="-23"/>
          <w:w w:val="90"/>
          <w:sz w:val="32"/>
          <w:szCs w:val="32"/>
          <w:u w:val="none"/>
          <w:lang w:val="en-US" w:eastAsia="zh-CN"/>
        </w:rPr>
        <w:fldChar w:fldCharType="separate"/>
      </w:r>
      <w:r>
        <w:rPr>
          <w:rStyle w:val="5"/>
          <w:rFonts w:hint="eastAsia" w:ascii="仿宋" w:hAnsi="仿宋" w:eastAsia="仿宋" w:cs="仿宋"/>
          <w:b w:val="0"/>
          <w:bCs w:val="0"/>
          <w:color w:val="auto"/>
          <w:spacing w:val="-23"/>
          <w:w w:val="90"/>
          <w:sz w:val="32"/>
          <w:szCs w:val="32"/>
          <w:u w:val="none"/>
          <w:lang w:val="en-US" w:eastAsia="zh-CN"/>
        </w:rPr>
        <w:t>http://edu.nc.gov.cn/ncjyj/twyc/</w:t>
      </w:r>
      <w:r>
        <w:rPr>
          <w:rFonts w:hint="eastAsia" w:ascii="仿宋" w:hAnsi="仿宋" w:eastAsia="仿宋" w:cs="仿宋"/>
          <w:b w:val="0"/>
          <w:bCs w:val="0"/>
          <w:color w:val="auto"/>
          <w:spacing w:val="-23"/>
          <w:w w:val="90"/>
          <w:sz w:val="32"/>
          <w:szCs w:val="32"/>
          <w:u w:val="none"/>
          <w:lang w:val="en-US" w:eastAsia="zh-CN"/>
        </w:rPr>
        <w:fldChar w:fldCharType="end"/>
      </w:r>
      <w:r>
        <w:rPr>
          <w:rFonts w:hint="eastAsia" w:ascii="仿宋" w:hAnsi="仿宋" w:eastAsia="仿宋" w:cs="仿宋"/>
          <w:b w:val="0"/>
          <w:bCs w:val="0"/>
          <w:color w:val="auto"/>
          <w:spacing w:val="-23"/>
          <w:w w:val="90"/>
          <w:sz w:val="32"/>
          <w:szCs w:val="32"/>
          <w:u w:val="none"/>
          <w:lang w:val="en-US" w:eastAsia="zh-CN"/>
        </w:rPr>
        <w:t>201907/64856e37b2a04d78b78a490e730a263a.shtml）</w:t>
      </w:r>
      <w:r>
        <w:rPr>
          <w:rFonts w:hint="eastAsia" w:ascii="仿宋" w:hAnsi="仿宋" w:eastAsia="仿宋" w:cs="仿宋"/>
          <w:b w:val="0"/>
          <w:bCs w:val="0"/>
          <w:sz w:val="32"/>
          <w:szCs w:val="32"/>
          <w:lang w:val="en-US" w:eastAsia="zh-CN"/>
        </w:rPr>
        <w:t>主动与承训部队沟通联络，军训师资必须为省军区、南昌警备区考核合格后取得资格证书人员。</w:t>
      </w:r>
      <w:bookmarkStart w:id="2" w:name="_GoBack"/>
      <w:bookmarkEnd w:id="2"/>
      <w:r>
        <w:rPr>
          <w:rFonts w:hint="eastAsia" w:ascii="仿宋" w:hAnsi="仿宋" w:eastAsia="仿宋" w:cs="仿宋"/>
          <w:b w:val="0"/>
          <w:bCs w:val="0"/>
          <w:sz w:val="32"/>
          <w:szCs w:val="32"/>
          <w:lang w:val="en-US" w:eastAsia="zh-CN"/>
        </w:rPr>
        <w:t>三是要安全军训，做好各项隐患排查和应急预案，从8月15日起到至学生军训结束止，各学校要指定专人加入“南昌市高中学校军训工作群”(QQ群号：677345497)，负责完成《学生军训日报表》，每日15时前通过QQ群网报南昌市教育局。四是南昌市教育局和南昌警备区将根据省厅、省军区要求联合跟综监管全市高中学校学生军训，对不开展或不规范开展高中学生军训的学校将依法依规进行通报和问责，并要求学校按规定进行补训。</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jc w:val="both"/>
        <w:textAlignment w:val="auto"/>
        <w:rPr>
          <w:rFonts w:hint="default" w:ascii="仿宋" w:hAnsi="仿宋" w:eastAsia="仿宋" w:cs="仿宋"/>
          <w:b w:val="0"/>
          <w:bCs w:val="0"/>
          <w:color w:val="auto"/>
          <w:sz w:val="32"/>
          <w:szCs w:val="32"/>
          <w:u w:val="none"/>
          <w:lang w:val="en-US" w:eastAsia="zh-CN"/>
        </w:rPr>
      </w:pPr>
      <w:r>
        <w:rPr>
          <w:rFonts w:hint="eastAsia" w:ascii="仿宋" w:hAnsi="仿宋" w:eastAsia="仿宋" w:cs="仿宋"/>
          <w:b w:val="0"/>
          <w:bCs w:val="0"/>
          <w:sz w:val="32"/>
          <w:szCs w:val="32"/>
          <w:lang w:val="en-US" w:eastAsia="zh-CN"/>
        </w:rPr>
        <w:t>高中阶段学校学生军训结束后，10月31日前，全市各高中学校将学生军训工作总结报告和相关新闻报道素材，以及图片、视频等宣传资料报送南昌市教育局体卫艺处（联系人：赵俊，联系电话：0791-83986479，邮箱：</w:t>
      </w:r>
      <w:r>
        <w:rPr>
          <w:rFonts w:hint="eastAsia" w:ascii="仿宋" w:hAnsi="仿宋" w:eastAsia="仿宋" w:cs="仿宋"/>
          <w:b w:val="0"/>
          <w:bCs w:val="0"/>
          <w:color w:val="auto"/>
          <w:sz w:val="32"/>
          <w:szCs w:val="32"/>
          <w:u w:val="none"/>
          <w:lang w:val="en-US" w:eastAsia="zh-CN"/>
        </w:rPr>
        <w:fldChar w:fldCharType="begin"/>
      </w:r>
      <w:r>
        <w:rPr>
          <w:rFonts w:hint="eastAsia" w:ascii="仿宋" w:hAnsi="仿宋" w:eastAsia="仿宋" w:cs="仿宋"/>
          <w:b w:val="0"/>
          <w:bCs w:val="0"/>
          <w:color w:val="auto"/>
          <w:sz w:val="32"/>
          <w:szCs w:val="32"/>
          <w:u w:val="none"/>
          <w:lang w:val="en-US" w:eastAsia="zh-CN"/>
        </w:rPr>
        <w:instrText xml:space="preserve"> HYPERLINK "mailto:21170491@qq.com）。" </w:instrText>
      </w:r>
      <w:r>
        <w:rPr>
          <w:rFonts w:hint="eastAsia" w:ascii="仿宋" w:hAnsi="仿宋" w:eastAsia="仿宋" w:cs="仿宋"/>
          <w:b w:val="0"/>
          <w:bCs w:val="0"/>
          <w:color w:val="auto"/>
          <w:sz w:val="32"/>
          <w:szCs w:val="32"/>
          <w:u w:val="none"/>
          <w:lang w:val="en-US" w:eastAsia="zh-CN"/>
        </w:rPr>
        <w:fldChar w:fldCharType="separate"/>
      </w:r>
      <w:r>
        <w:rPr>
          <w:rStyle w:val="5"/>
          <w:rFonts w:hint="eastAsia" w:ascii="仿宋" w:hAnsi="仿宋" w:eastAsia="仿宋" w:cs="仿宋"/>
          <w:b w:val="0"/>
          <w:bCs w:val="0"/>
          <w:color w:val="auto"/>
          <w:sz w:val="32"/>
          <w:szCs w:val="32"/>
          <w:u w:val="none"/>
          <w:lang w:val="en-US" w:eastAsia="zh-CN"/>
        </w:rPr>
        <w:t>21170491@qq.com）。</w:t>
      </w:r>
      <w:r>
        <w:rPr>
          <w:rFonts w:hint="eastAsia" w:ascii="仿宋" w:hAnsi="仿宋" w:eastAsia="仿宋" w:cs="仿宋"/>
          <w:b w:val="0"/>
          <w:bCs w:val="0"/>
          <w:color w:val="auto"/>
          <w:sz w:val="32"/>
          <w:szCs w:val="32"/>
          <w:u w:val="none"/>
          <w:lang w:val="en-US" w:eastAsia="zh-CN"/>
        </w:rPr>
        <w:fldChar w:fldCharType="end"/>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default" w:ascii="仿宋" w:hAnsi="仿宋" w:eastAsia="仿宋" w:cs="仿宋"/>
          <w:b w:val="0"/>
          <w:bCs w:val="0"/>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附件：1.江西省学生军训日报表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96" w:leftChars="760" w:firstLine="0" w:firstLineChars="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2.江西省教育厅 江西省军区战备建设局关于做好2019年学生军事训练工作的通知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right"/>
        <w:textAlignment w:val="auto"/>
        <w:rPr>
          <w:rFonts w:hint="eastAsia" w:ascii="仿宋" w:hAnsi="仿宋" w:eastAsia="仿宋" w:cs="仿宋"/>
          <w:b w:val="0"/>
          <w:bCs w:val="0"/>
          <w:sz w:val="32"/>
          <w:szCs w:val="32"/>
          <w:lang w:val="en-US" w:eastAsia="zh-CN"/>
        </w:rPr>
      </w:pPr>
      <w:r>
        <w:rPr>
          <w:rFonts w:hint="eastAsia" w:ascii="仿宋_GB2312" w:hAnsi="仿宋_GB2312" w:eastAsia="仿宋_GB2312" w:cs="仿宋_GB2312"/>
          <w:sz w:val="32"/>
          <w:szCs w:val="32"/>
        </w:rPr>
        <w:pict>
          <v:group id="_x0000_s1026" o:spid="_x0000_s1026" o:spt="203" style="position:absolute;left:0pt;margin-left:279.95pt;margin-top:14.7pt;height:93.6pt;width:99.75pt;z-index:251674624;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南昌市教育局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2019年8月5日</w:t>
      </w: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eastAsia" w:ascii="仿宋" w:hAnsi="仿宋" w:eastAsia="仿宋" w:cs="仿宋"/>
          <w:b w:val="0"/>
          <w:bCs w:val="0"/>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8</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6</w:t>
      </w:r>
      <w:r>
        <w:rPr>
          <w:rFonts w:hint="eastAsia" w:ascii="仿宋_GB2312" w:eastAsia="仿宋_GB2312"/>
          <w:sz w:val="32"/>
          <w:szCs w:val="32"/>
          <w:u w:val="single"/>
        </w:rPr>
        <w:t xml:space="preserve">日印发 </w:t>
      </w:r>
      <w:r>
        <w:rPr>
          <w:rFonts w:hint="eastAsia" w:ascii="仿宋_GB2312" w:eastAsia="仿宋_GB2312"/>
          <w:sz w:val="32"/>
          <w:szCs w:val="32"/>
          <w:u w:val="single"/>
          <w:lang w:val="en-US" w:eastAsia="zh-CN"/>
        </w:rPr>
        <w:t xml:space="preserve">  </w:t>
      </w:r>
      <w:bookmarkEnd w:id="1"/>
    </w:p>
    <w:p>
      <w:pPr>
        <w:numPr>
          <w:ilvl w:val="0"/>
          <w:numId w:val="0"/>
        </w:numPr>
        <w:ind w:firstLine="640"/>
        <w:jc w:val="both"/>
        <w:rPr>
          <w:rFonts w:hint="eastAsia" w:ascii="仿宋" w:hAnsi="仿宋" w:eastAsia="仿宋" w:cs="仿宋"/>
          <w:b w:val="0"/>
          <w:bCs w:val="0"/>
          <w:sz w:val="32"/>
          <w:szCs w:val="32"/>
          <w:lang w:val="en-US" w:eastAsia="zh-CN"/>
        </w:rPr>
        <w:sectPr>
          <w:pgSz w:w="11906" w:h="16838"/>
          <w:pgMar w:top="1440" w:right="1800" w:bottom="1440" w:left="1800" w:header="851" w:footer="992" w:gutter="0"/>
          <w:cols w:space="425" w:num="1"/>
          <w:docGrid w:type="lines" w:linePitch="312" w:charSpace="0"/>
        </w:sectPr>
      </w:pPr>
    </w:p>
    <w:p>
      <w:pPr>
        <w:numPr>
          <w:ilvl w:val="0"/>
          <w:numId w:val="0"/>
        </w:num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numPr>
          <w:ilvl w:val="0"/>
          <w:numId w:val="0"/>
        </w:numPr>
        <w:ind w:firstLine="64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江西省学生军训日报表格式</w:t>
      </w: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填报单位：                                                       2019年    月    日</w:t>
      </w:r>
    </w:p>
    <w:tbl>
      <w:tblPr>
        <w:tblStyle w:val="3"/>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601"/>
        <w:gridCol w:w="1175"/>
        <w:gridCol w:w="1174"/>
        <w:gridCol w:w="608"/>
        <w:gridCol w:w="760"/>
        <w:gridCol w:w="814"/>
        <w:gridCol w:w="705"/>
        <w:gridCol w:w="746"/>
        <w:gridCol w:w="719"/>
        <w:gridCol w:w="2564"/>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749" w:type="dxa"/>
            <w:vMerge w:val="restart"/>
            <w:vAlign w:val="center"/>
          </w:tcPr>
          <w:p>
            <w:pPr>
              <w:numPr>
                <w:ilvl w:val="0"/>
                <w:numId w:val="0"/>
              </w:numPr>
              <w:jc w:val="both"/>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1601" w:type="dxa"/>
            <w:vMerge w:val="restart"/>
            <w:vAlign w:val="center"/>
          </w:tcPr>
          <w:p>
            <w:pPr>
              <w:numPr>
                <w:ilvl w:val="0"/>
                <w:numId w:val="0"/>
              </w:numPr>
              <w:jc w:val="both"/>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学校名称</w:t>
            </w:r>
          </w:p>
        </w:tc>
        <w:tc>
          <w:tcPr>
            <w:tcW w:w="1175" w:type="dxa"/>
            <w:vMerge w:val="restart"/>
            <w:vAlign w:val="center"/>
          </w:tcPr>
          <w:p>
            <w:pPr>
              <w:numPr>
                <w:ilvl w:val="0"/>
                <w:numId w:val="0"/>
              </w:num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参训人数（人）</w:t>
            </w:r>
          </w:p>
        </w:tc>
        <w:tc>
          <w:tcPr>
            <w:tcW w:w="1174" w:type="dxa"/>
            <w:vMerge w:val="restart"/>
            <w:vAlign w:val="center"/>
          </w:tcPr>
          <w:p>
            <w:pPr>
              <w:numPr>
                <w:ilvl w:val="0"/>
                <w:numId w:val="0"/>
              </w:numPr>
              <w:jc w:val="both"/>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承训单位</w:t>
            </w:r>
          </w:p>
        </w:tc>
        <w:tc>
          <w:tcPr>
            <w:tcW w:w="4352" w:type="dxa"/>
            <w:gridSpan w:val="6"/>
            <w:vAlign w:val="center"/>
          </w:tcPr>
          <w:p>
            <w:pPr>
              <w:numPr>
                <w:ilvl w:val="0"/>
                <w:numId w:val="0"/>
              </w:numPr>
              <w:jc w:val="both"/>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承训官兵数</w:t>
            </w:r>
          </w:p>
        </w:tc>
        <w:tc>
          <w:tcPr>
            <w:tcW w:w="2564" w:type="dxa"/>
            <w:vAlign w:val="center"/>
          </w:tcPr>
          <w:p>
            <w:pPr>
              <w:numPr>
                <w:ilvl w:val="0"/>
                <w:numId w:val="0"/>
              </w:numPr>
              <w:jc w:val="both"/>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安全管理情况</w:t>
            </w:r>
          </w:p>
        </w:tc>
        <w:tc>
          <w:tcPr>
            <w:tcW w:w="2485" w:type="dxa"/>
            <w:vAlign w:val="center"/>
          </w:tcPr>
          <w:p>
            <w:pPr>
              <w:numPr>
                <w:ilvl w:val="0"/>
                <w:numId w:val="0"/>
              </w:numPr>
              <w:jc w:val="both"/>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网络舆情情况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749" w:type="dxa"/>
            <w:vMerge w:val="continue"/>
            <w:vAlign w:val="center"/>
          </w:tcPr>
          <w:p>
            <w:pPr>
              <w:numPr>
                <w:ilvl w:val="0"/>
                <w:numId w:val="0"/>
              </w:numPr>
              <w:jc w:val="both"/>
              <w:rPr>
                <w:rFonts w:hint="eastAsia" w:ascii="仿宋" w:hAnsi="仿宋" w:eastAsia="仿宋" w:cs="仿宋"/>
                <w:b/>
                <w:bCs/>
                <w:sz w:val="24"/>
                <w:szCs w:val="24"/>
                <w:vertAlign w:val="baseline"/>
                <w:lang w:val="en-US" w:eastAsia="zh-CN"/>
              </w:rPr>
            </w:pPr>
          </w:p>
        </w:tc>
        <w:tc>
          <w:tcPr>
            <w:tcW w:w="1601" w:type="dxa"/>
            <w:vMerge w:val="continue"/>
            <w:vAlign w:val="center"/>
          </w:tcPr>
          <w:p>
            <w:pPr>
              <w:numPr>
                <w:ilvl w:val="0"/>
                <w:numId w:val="0"/>
              </w:numPr>
              <w:jc w:val="both"/>
              <w:rPr>
                <w:rFonts w:hint="eastAsia" w:ascii="仿宋" w:hAnsi="仿宋" w:eastAsia="仿宋" w:cs="仿宋"/>
                <w:b/>
                <w:bCs/>
                <w:sz w:val="24"/>
                <w:szCs w:val="24"/>
                <w:vertAlign w:val="baseline"/>
                <w:lang w:val="en-US" w:eastAsia="zh-CN"/>
              </w:rPr>
            </w:pPr>
          </w:p>
        </w:tc>
        <w:tc>
          <w:tcPr>
            <w:tcW w:w="1175" w:type="dxa"/>
            <w:vMerge w:val="continue"/>
            <w:vAlign w:val="center"/>
          </w:tcPr>
          <w:p>
            <w:pPr>
              <w:numPr>
                <w:ilvl w:val="0"/>
                <w:numId w:val="0"/>
              </w:numPr>
              <w:jc w:val="both"/>
              <w:rPr>
                <w:rFonts w:hint="eastAsia" w:ascii="仿宋" w:hAnsi="仿宋" w:eastAsia="仿宋" w:cs="仿宋"/>
                <w:b/>
                <w:bCs/>
                <w:sz w:val="24"/>
                <w:szCs w:val="24"/>
                <w:vertAlign w:val="baseline"/>
                <w:lang w:val="en-US" w:eastAsia="zh-CN"/>
              </w:rPr>
            </w:pPr>
          </w:p>
        </w:tc>
        <w:tc>
          <w:tcPr>
            <w:tcW w:w="1174" w:type="dxa"/>
            <w:vMerge w:val="continue"/>
            <w:vAlign w:val="center"/>
          </w:tcPr>
          <w:p>
            <w:pPr>
              <w:numPr>
                <w:ilvl w:val="0"/>
                <w:numId w:val="0"/>
              </w:numPr>
              <w:jc w:val="both"/>
              <w:rPr>
                <w:rFonts w:hint="eastAsia" w:ascii="仿宋" w:hAnsi="仿宋" w:eastAsia="仿宋" w:cs="仿宋"/>
                <w:b/>
                <w:bCs/>
                <w:sz w:val="24"/>
                <w:szCs w:val="24"/>
                <w:vertAlign w:val="baseline"/>
                <w:lang w:val="en-US" w:eastAsia="zh-CN"/>
              </w:rPr>
            </w:pPr>
          </w:p>
        </w:tc>
        <w:tc>
          <w:tcPr>
            <w:tcW w:w="608" w:type="dxa"/>
            <w:vAlign w:val="center"/>
          </w:tcPr>
          <w:p>
            <w:pPr>
              <w:numPr>
                <w:ilvl w:val="0"/>
                <w:numId w:val="0"/>
              </w:numPr>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总数</w:t>
            </w:r>
          </w:p>
        </w:tc>
        <w:tc>
          <w:tcPr>
            <w:tcW w:w="760" w:type="dxa"/>
            <w:vAlign w:val="center"/>
          </w:tcPr>
          <w:p>
            <w:pPr>
              <w:numPr>
                <w:ilvl w:val="0"/>
                <w:numId w:val="0"/>
              </w:numPr>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现役干部</w:t>
            </w:r>
          </w:p>
        </w:tc>
        <w:tc>
          <w:tcPr>
            <w:tcW w:w="814" w:type="dxa"/>
            <w:vAlign w:val="center"/>
          </w:tcPr>
          <w:p>
            <w:pPr>
              <w:numPr>
                <w:ilvl w:val="0"/>
                <w:numId w:val="0"/>
              </w:numPr>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现役战士</w:t>
            </w:r>
          </w:p>
        </w:tc>
        <w:tc>
          <w:tcPr>
            <w:tcW w:w="705" w:type="dxa"/>
            <w:vAlign w:val="center"/>
          </w:tcPr>
          <w:p>
            <w:pPr>
              <w:numPr>
                <w:ilvl w:val="0"/>
                <w:numId w:val="0"/>
              </w:numPr>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专武干部</w:t>
            </w:r>
          </w:p>
        </w:tc>
        <w:tc>
          <w:tcPr>
            <w:tcW w:w="746" w:type="dxa"/>
            <w:vAlign w:val="center"/>
          </w:tcPr>
          <w:p>
            <w:pPr>
              <w:numPr>
                <w:ilvl w:val="0"/>
                <w:numId w:val="0"/>
              </w:numPr>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民兵骨干</w:t>
            </w:r>
          </w:p>
        </w:tc>
        <w:tc>
          <w:tcPr>
            <w:tcW w:w="719" w:type="dxa"/>
            <w:vAlign w:val="center"/>
          </w:tcPr>
          <w:p>
            <w:pPr>
              <w:numPr>
                <w:ilvl w:val="0"/>
                <w:numId w:val="0"/>
              </w:numPr>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其他</w:t>
            </w:r>
          </w:p>
        </w:tc>
        <w:tc>
          <w:tcPr>
            <w:tcW w:w="2564" w:type="dxa"/>
            <w:vAlign w:val="center"/>
          </w:tcPr>
          <w:p>
            <w:pPr>
              <w:numPr>
                <w:ilvl w:val="0"/>
                <w:numId w:val="0"/>
              </w:numPr>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主要反映有无情况、好的措施办法、存在的矛盾问题</w:t>
            </w:r>
          </w:p>
        </w:tc>
        <w:tc>
          <w:tcPr>
            <w:tcW w:w="2485" w:type="dxa"/>
            <w:vAlign w:val="center"/>
          </w:tcPr>
          <w:p>
            <w:pPr>
              <w:numPr>
                <w:ilvl w:val="0"/>
                <w:numId w:val="0"/>
              </w:numPr>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主要反映有无情况、好的措施办法、存在的矛盾问题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749" w:type="dxa"/>
          </w:tcPr>
          <w:p>
            <w:pPr>
              <w:numPr>
                <w:ilvl w:val="0"/>
                <w:numId w:val="0"/>
              </w:num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1601" w:type="dxa"/>
          </w:tcPr>
          <w:p>
            <w:pPr>
              <w:numPr>
                <w:ilvl w:val="0"/>
                <w:numId w:val="0"/>
              </w:numPr>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**学校</w:t>
            </w:r>
          </w:p>
        </w:tc>
        <w:tc>
          <w:tcPr>
            <w:tcW w:w="1175"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1174" w:type="dxa"/>
          </w:tcPr>
          <w:p>
            <w:pPr>
              <w:numPr>
                <w:ilvl w:val="0"/>
                <w:numId w:val="0"/>
              </w:num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**部队或自训</w:t>
            </w:r>
          </w:p>
        </w:tc>
        <w:tc>
          <w:tcPr>
            <w:tcW w:w="608"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60"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814"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05"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46"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19"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2564"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2485" w:type="dxa"/>
          </w:tcPr>
          <w:p>
            <w:pPr>
              <w:numPr>
                <w:ilvl w:val="0"/>
                <w:numId w:val="0"/>
              </w:numPr>
              <w:jc w:val="both"/>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749"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1601"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1175"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1174"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608"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60"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814"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05"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46"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19"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2564"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2485" w:type="dxa"/>
          </w:tcPr>
          <w:p>
            <w:pPr>
              <w:numPr>
                <w:ilvl w:val="0"/>
                <w:numId w:val="0"/>
              </w:numPr>
              <w:jc w:val="both"/>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749" w:type="dxa"/>
          </w:tcPr>
          <w:p>
            <w:pPr>
              <w:numPr>
                <w:ilvl w:val="0"/>
                <w:numId w:val="0"/>
              </w:numPr>
              <w:jc w:val="both"/>
              <w:rPr>
                <w:rFonts w:hint="eastAsia" w:ascii="仿宋" w:hAnsi="仿宋" w:eastAsia="仿宋" w:cs="仿宋"/>
                <w:b w:val="0"/>
                <w:bCs w:val="0"/>
                <w:sz w:val="24"/>
                <w:szCs w:val="24"/>
                <w:vertAlign w:val="baseline"/>
                <w:lang w:val="en-US" w:eastAsia="zh-CN"/>
              </w:rPr>
            </w:pPr>
          </w:p>
        </w:tc>
        <w:tc>
          <w:tcPr>
            <w:tcW w:w="1601"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1175"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1174"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608"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60"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814"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05"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46"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19"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2564"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2485" w:type="dxa"/>
          </w:tcPr>
          <w:p>
            <w:pPr>
              <w:numPr>
                <w:ilvl w:val="0"/>
                <w:numId w:val="0"/>
              </w:numPr>
              <w:jc w:val="both"/>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749" w:type="dxa"/>
          </w:tcPr>
          <w:p>
            <w:pPr>
              <w:numPr>
                <w:ilvl w:val="0"/>
                <w:numId w:val="0"/>
              </w:numPr>
              <w:jc w:val="both"/>
              <w:rPr>
                <w:rFonts w:hint="eastAsia" w:ascii="仿宋" w:hAnsi="仿宋" w:eastAsia="仿宋" w:cs="仿宋"/>
                <w:b w:val="0"/>
                <w:bCs w:val="0"/>
                <w:sz w:val="24"/>
                <w:szCs w:val="24"/>
                <w:vertAlign w:val="baseline"/>
                <w:lang w:val="en-US" w:eastAsia="zh-CN"/>
              </w:rPr>
            </w:pPr>
          </w:p>
        </w:tc>
        <w:tc>
          <w:tcPr>
            <w:tcW w:w="1601"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1175"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1174"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608"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60"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814"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05"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46"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719"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2564" w:type="dxa"/>
          </w:tcPr>
          <w:p>
            <w:pPr>
              <w:numPr>
                <w:ilvl w:val="0"/>
                <w:numId w:val="0"/>
              </w:numPr>
              <w:jc w:val="both"/>
              <w:rPr>
                <w:rFonts w:hint="default" w:ascii="仿宋" w:hAnsi="仿宋" w:eastAsia="仿宋" w:cs="仿宋"/>
                <w:b w:val="0"/>
                <w:bCs w:val="0"/>
                <w:sz w:val="24"/>
                <w:szCs w:val="24"/>
                <w:vertAlign w:val="baseline"/>
                <w:lang w:val="en-US" w:eastAsia="zh-CN"/>
              </w:rPr>
            </w:pPr>
          </w:p>
        </w:tc>
        <w:tc>
          <w:tcPr>
            <w:tcW w:w="2485" w:type="dxa"/>
          </w:tcPr>
          <w:p>
            <w:pPr>
              <w:numPr>
                <w:ilvl w:val="0"/>
                <w:numId w:val="0"/>
              </w:numPr>
              <w:jc w:val="both"/>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8" w:hRule="atLeast"/>
        </w:trPr>
        <w:tc>
          <w:tcPr>
            <w:tcW w:w="2350" w:type="dxa"/>
            <w:gridSpan w:val="2"/>
            <w:vAlign w:val="center"/>
          </w:tcPr>
          <w:p>
            <w:pPr>
              <w:numPr>
                <w:ilvl w:val="0"/>
                <w:numId w:val="0"/>
              </w:num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备注</w:t>
            </w:r>
          </w:p>
        </w:tc>
        <w:tc>
          <w:tcPr>
            <w:tcW w:w="11750" w:type="dxa"/>
            <w:gridSpan w:val="10"/>
            <w:vAlign w:val="center"/>
          </w:tcPr>
          <w:p>
            <w:pPr>
              <w:numPr>
                <w:ilvl w:val="0"/>
                <w:numId w:val="0"/>
              </w:numPr>
              <w:jc w:val="left"/>
              <w:rPr>
                <w:rFonts w:hint="eastAsia" w:ascii="仿宋" w:hAnsi="仿宋" w:eastAsia="仿宋" w:cs="仿宋"/>
                <w:b w:val="0"/>
                <w:bCs w:val="0"/>
                <w:sz w:val="24"/>
                <w:szCs w:val="24"/>
                <w:vertAlign w:val="baseline"/>
                <w:lang w:val="en-US" w:eastAsia="zh-CN"/>
              </w:rPr>
            </w:pPr>
          </w:p>
          <w:p>
            <w:pPr>
              <w:numPr>
                <w:ilvl w:val="0"/>
                <w:numId w:val="0"/>
              </w:numPr>
              <w:jc w:val="left"/>
              <w:rPr>
                <w:rFonts w:hint="eastAsia" w:ascii="仿宋" w:hAnsi="仿宋" w:eastAsia="仿宋" w:cs="仿宋"/>
                <w:b w:val="0"/>
                <w:bCs w:val="0"/>
                <w:sz w:val="24"/>
                <w:szCs w:val="24"/>
                <w:vertAlign w:val="baseline"/>
                <w:lang w:val="en-US" w:eastAsia="zh-CN"/>
              </w:rPr>
            </w:pPr>
          </w:p>
          <w:p>
            <w:pPr>
              <w:numPr>
                <w:ilvl w:val="0"/>
                <w:numId w:val="0"/>
              </w:numPr>
              <w:jc w:val="left"/>
              <w:rPr>
                <w:rFonts w:hint="eastAsia" w:ascii="仿宋" w:hAnsi="仿宋" w:eastAsia="仿宋" w:cs="仿宋"/>
                <w:b w:val="0"/>
                <w:bCs w:val="0"/>
                <w:sz w:val="24"/>
                <w:szCs w:val="24"/>
                <w:vertAlign w:val="baseline"/>
                <w:lang w:val="en-US" w:eastAsia="zh-CN"/>
              </w:rPr>
            </w:pPr>
          </w:p>
          <w:p>
            <w:pPr>
              <w:numPr>
                <w:ilvl w:val="0"/>
                <w:numId w:val="0"/>
              </w:numPr>
              <w:ind w:firstLine="480" w:firstLineChars="200"/>
              <w:jc w:val="left"/>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drawing>
                <wp:anchor distT="0" distB="0" distL="114300" distR="114300" simplePos="0" relativeHeight="251658240" behindDoc="0" locked="0" layoutInCell="1" allowOverlap="1">
                  <wp:simplePos x="0" y="0"/>
                  <wp:positionH relativeFrom="column">
                    <wp:posOffset>5763895</wp:posOffset>
                  </wp:positionH>
                  <wp:positionV relativeFrom="page">
                    <wp:posOffset>53975</wp:posOffset>
                  </wp:positionV>
                  <wp:extent cx="1261745" cy="1618615"/>
                  <wp:effectExtent l="0" t="0" r="14605" b="635"/>
                  <wp:wrapSquare wrapText="bothSides"/>
                  <wp:docPr id="1" name="图片 1" descr="11461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4612374"/>
                          <pic:cNvPicPr>
                            <a:picLocks noChangeAspect="1"/>
                          </pic:cNvPicPr>
                        </pic:nvPicPr>
                        <pic:blipFill>
                          <a:blip r:embed="rId4"/>
                          <a:stretch>
                            <a:fillRect/>
                          </a:stretch>
                        </pic:blipFill>
                        <pic:spPr>
                          <a:xfrm>
                            <a:off x="0" y="0"/>
                            <a:ext cx="1261745" cy="1618615"/>
                          </a:xfrm>
                          <a:prstGeom prst="rect">
                            <a:avLst/>
                          </a:prstGeom>
                        </pic:spPr>
                      </pic:pic>
                    </a:graphicData>
                  </a:graphic>
                </wp:anchor>
              </w:drawing>
            </w:r>
            <w:r>
              <w:rPr>
                <w:rFonts w:hint="eastAsia" w:ascii="仿宋" w:hAnsi="仿宋" w:eastAsia="仿宋" w:cs="仿宋"/>
                <w:b w:val="0"/>
                <w:bCs w:val="0"/>
                <w:sz w:val="24"/>
                <w:szCs w:val="24"/>
                <w:vertAlign w:val="baseline"/>
                <w:lang w:val="en-US" w:eastAsia="zh-CN"/>
              </w:rPr>
              <w:t>1.高中阶段学校派专人每日15时前通过QQ群（加入“南昌市高中学校军训工作群”，群号：677345497）网报南昌市教育局。</w:t>
            </w:r>
          </w:p>
          <w:p>
            <w:pPr>
              <w:numPr>
                <w:ilvl w:val="0"/>
                <w:numId w:val="0"/>
              </w:numPr>
              <w:ind w:firstLine="480" w:firstLineChars="200"/>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2.各学校专人入群后请实名，格式如：学校名称+姓名+手机号。</w:t>
            </w:r>
          </w:p>
          <w:p>
            <w:pPr>
              <w:numPr>
                <w:ilvl w:val="0"/>
                <w:numId w:val="0"/>
              </w:numPr>
              <w:jc w:val="center"/>
              <w:rPr>
                <w:rFonts w:hint="default" w:ascii="仿宋" w:hAnsi="仿宋" w:eastAsia="仿宋" w:cs="仿宋"/>
                <w:b w:val="0"/>
                <w:bCs w:val="0"/>
                <w:sz w:val="24"/>
                <w:szCs w:val="24"/>
                <w:vertAlign w:val="baseline"/>
                <w:lang w:val="en-US" w:eastAsia="zh-CN"/>
              </w:rPr>
            </w:pPr>
          </w:p>
          <w:p>
            <w:pPr>
              <w:numPr>
                <w:ilvl w:val="0"/>
                <w:numId w:val="0"/>
              </w:numPr>
              <w:jc w:val="center"/>
              <w:rPr>
                <w:rFonts w:hint="default" w:ascii="仿宋" w:hAnsi="仿宋" w:eastAsia="仿宋" w:cs="仿宋"/>
                <w:b w:val="0"/>
                <w:bCs w:val="0"/>
                <w:sz w:val="24"/>
                <w:szCs w:val="24"/>
                <w:vertAlign w:val="baseline"/>
                <w:lang w:val="en-US" w:eastAsia="zh-CN"/>
              </w:rPr>
            </w:pPr>
          </w:p>
        </w:tc>
      </w:tr>
    </w:tbl>
    <w:p>
      <w:pPr>
        <w:numPr>
          <w:ilvl w:val="0"/>
          <w:numId w:val="0"/>
        </w:numPr>
        <w:ind w:firstLine="640"/>
        <w:jc w:val="both"/>
        <w:rPr>
          <w:rFonts w:hint="default" w:ascii="仿宋" w:hAnsi="仿宋" w:eastAsia="仿宋" w:cs="仿宋"/>
          <w:b w:val="0"/>
          <w:bCs w:val="0"/>
          <w:sz w:val="32"/>
          <w:szCs w:val="32"/>
          <w:lang w:val="en-US" w:eastAsia="zh-CN"/>
        </w:rPr>
      </w:pPr>
    </w:p>
    <w:sectPr>
      <w:pgSz w:w="16838" w:h="11906" w:orient="landscape"/>
      <w:pgMar w:top="1180" w:right="1440" w:bottom="64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8134BB"/>
    <w:multiLevelType w:val="singleLevel"/>
    <w:tmpl w:val="C68134B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F3ACC"/>
    <w:rsid w:val="271151AF"/>
    <w:rsid w:val="396F3ACC"/>
    <w:rsid w:val="60710483"/>
    <w:rsid w:val="79862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2019-08-05T07:45:00Z</dcterms:created>
  <dc:creator>云海游龙</dc:creator>
  <cp:lastModifiedBy>user</cp:lastModifiedBy>
  <dcterms:modified xsi:type="dcterms:W3CDTF">2019-08-06T03:20:09Z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