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洪教社管字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16号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jc w:val="center"/>
        <w:rPr>
          <w:rFonts w:hint="eastAsia"/>
          <w:b/>
          <w:sz w:val="44"/>
          <w:szCs w:val="44"/>
        </w:rPr>
      </w:pPr>
    </w:p>
    <w:p>
      <w:pPr>
        <w:jc w:val="center"/>
        <w:rPr>
          <w:rFonts w:hint="eastAsia"/>
          <w:b/>
          <w:sz w:val="44"/>
          <w:szCs w:val="44"/>
        </w:rPr>
      </w:pPr>
      <w:r>
        <w:rPr>
          <w:rFonts w:hint="eastAsia"/>
          <w:b/>
          <w:sz w:val="44"/>
          <w:szCs w:val="44"/>
        </w:rPr>
        <w:t>南昌市教育局关于上报校外培训机构</w:t>
      </w:r>
    </w:p>
    <w:p>
      <w:pPr>
        <w:jc w:val="center"/>
        <w:rPr>
          <w:b/>
          <w:sz w:val="44"/>
          <w:szCs w:val="44"/>
        </w:rPr>
      </w:pPr>
      <w:r>
        <w:rPr>
          <w:rFonts w:hint="eastAsia"/>
          <w:b/>
          <w:sz w:val="44"/>
          <w:szCs w:val="44"/>
        </w:rPr>
        <w:t>专项整治问题台账的通知</w:t>
      </w:r>
    </w:p>
    <w:p>
      <w:pPr>
        <w:rPr>
          <w:sz w:val="32"/>
          <w:szCs w:val="32"/>
        </w:rPr>
      </w:pPr>
    </w:p>
    <w:p>
      <w:pPr>
        <w:rPr>
          <w:rFonts w:ascii="仿宋" w:hAnsi="仿宋" w:eastAsia="仿宋"/>
          <w:sz w:val="32"/>
          <w:szCs w:val="32"/>
        </w:rPr>
      </w:pPr>
      <w:bookmarkStart w:id="2" w:name="_GoBack"/>
      <w:r>
        <w:rPr>
          <w:rFonts w:hint="eastAsia" w:ascii="仿宋" w:hAnsi="仿宋" w:eastAsia="仿宋"/>
          <w:sz w:val="32"/>
          <w:szCs w:val="32"/>
        </w:rPr>
        <w:t>各县（区）教体局、开发区（新区）教办：</w:t>
      </w:r>
    </w:p>
    <w:p>
      <w:pPr>
        <w:ind w:firstLine="660"/>
        <w:rPr>
          <w:rFonts w:ascii="仿宋" w:hAnsi="仿宋" w:eastAsia="仿宋"/>
          <w:sz w:val="32"/>
          <w:szCs w:val="32"/>
        </w:rPr>
      </w:pPr>
      <w:r>
        <w:rPr>
          <w:rFonts w:hint="eastAsia" w:ascii="仿宋" w:hAnsi="仿宋" w:eastAsia="仿宋"/>
          <w:sz w:val="32"/>
          <w:szCs w:val="32"/>
        </w:rPr>
        <w:t>根据中共南昌市教育局管委会《关于印发〈南昌市教育系统开展民生领域侵害群众利益突出问题专项整治工作方案〉的通知》（洪教党字〔2019〕29号），请你们将2019年度开展民生领域侵害群众利益突出问题专项整治工作与校外培训机构专项治理“回头看”有机结合，进一步明确工作重点，落实工作举措，建立工作台账，加强督促整改，确保2019年校外培训机构专项治理取得实效。</w:t>
      </w:r>
    </w:p>
    <w:p>
      <w:pPr>
        <w:ind w:firstLine="660"/>
        <w:rPr>
          <w:rFonts w:ascii="仿宋" w:hAnsi="仿宋" w:eastAsia="仿宋"/>
          <w:sz w:val="32"/>
          <w:szCs w:val="32"/>
        </w:rPr>
      </w:pPr>
      <w:r>
        <w:rPr>
          <w:rFonts w:hint="eastAsia" w:ascii="仿宋" w:hAnsi="仿宋" w:eastAsia="仿宋"/>
          <w:sz w:val="32"/>
          <w:szCs w:val="32"/>
        </w:rPr>
        <w:t>根据洪教党字〔2019〕29号文件工作安排，现请你们认真填写校外培训机构专项治理问题台账（附表），</w:t>
      </w:r>
      <w:r>
        <w:fldChar w:fldCharType="begin"/>
      </w:r>
      <w:r>
        <w:instrText xml:space="preserve"> HYPERLINK "mailto:并于6月27日下班前将表格发送至邮箱610276639@qq.com" </w:instrText>
      </w:r>
      <w:r>
        <w:fldChar w:fldCharType="separate"/>
      </w:r>
      <w:r>
        <w:rPr>
          <w:rFonts w:hint="eastAsia" w:ascii="仿宋" w:hAnsi="仿宋" w:eastAsia="仿宋"/>
          <w:sz w:val="32"/>
          <w:szCs w:val="32"/>
        </w:rPr>
        <w:t>并于6月27日下班前将表格发送至邮箱</w:t>
      </w:r>
      <w:r>
        <w:rPr>
          <w:rFonts w:ascii="仿宋" w:hAnsi="仿宋" w:eastAsia="仿宋"/>
          <w:sz w:val="32"/>
          <w:szCs w:val="32"/>
        </w:rPr>
        <w:t>610276639</w:t>
      </w:r>
      <w:r>
        <w:rPr>
          <w:rFonts w:hint="eastAsia" w:ascii="仿宋" w:hAnsi="仿宋" w:eastAsia="仿宋"/>
          <w:sz w:val="32"/>
          <w:szCs w:val="32"/>
        </w:rPr>
        <w:t>@qq.com</w:t>
      </w:r>
      <w:r>
        <w:rPr>
          <w:rFonts w:hint="eastAsia" w:ascii="仿宋" w:hAnsi="仿宋" w:eastAsia="仿宋"/>
          <w:sz w:val="32"/>
          <w:szCs w:val="32"/>
        </w:rPr>
        <w:fldChar w:fldCharType="end"/>
      </w:r>
      <w:r>
        <w:rPr>
          <w:rFonts w:hint="eastAsia" w:ascii="仿宋" w:hAnsi="仿宋" w:eastAsia="仿宋"/>
          <w:sz w:val="32"/>
          <w:szCs w:val="32"/>
        </w:rPr>
        <w:t>。</w:t>
      </w:r>
    </w:p>
    <w:p>
      <w:pPr>
        <w:ind w:firstLine="660"/>
        <w:rPr>
          <w:rFonts w:ascii="仿宋" w:hAnsi="仿宋" w:eastAsia="仿宋"/>
          <w:sz w:val="32"/>
          <w:szCs w:val="32"/>
        </w:rPr>
      </w:pPr>
      <w:r>
        <w:rPr>
          <w:rFonts w:hint="eastAsia" w:ascii="仿宋" w:hAnsi="仿宋" w:eastAsia="仿宋"/>
          <w:sz w:val="32"/>
          <w:szCs w:val="32"/>
        </w:rPr>
        <w:t>对记入台账的所有问题，要加紧指导和督促相关机构按时按要求整改到位。整改落实情况台账请于9月10日前上报。</w:t>
      </w:r>
    </w:p>
    <w:bookmarkEnd w:id="2"/>
    <w:p>
      <w:pPr>
        <w:ind w:firstLine="660"/>
        <w:rPr>
          <w:rFonts w:hint="eastAsia" w:ascii="仿宋" w:hAnsi="仿宋" w:eastAsia="仿宋"/>
          <w:sz w:val="32"/>
          <w:szCs w:val="32"/>
        </w:rPr>
      </w:pPr>
    </w:p>
    <w:p>
      <w:pPr>
        <w:ind w:firstLine="660"/>
        <w:rPr>
          <w:rFonts w:hint="eastAsia" w:ascii="仿宋" w:hAnsi="仿宋" w:eastAsia="仿宋"/>
          <w:sz w:val="32"/>
          <w:szCs w:val="32"/>
        </w:rPr>
      </w:pPr>
      <w:r>
        <w:rPr>
          <w:rFonts w:hint="eastAsia" w:ascii="仿宋_GB2312" w:hAnsi="仿宋_GB2312" w:eastAsia="仿宋_GB2312" w:cs="仿宋_GB2312"/>
          <w:sz w:val="32"/>
          <w:szCs w:val="32"/>
        </w:rPr>
        <w:pict>
          <v:group id="_x0000_s1026" o:spid="_x0000_s1026" o:spt="203" style="position:absolute;left:0pt;margin-left:290.1pt;margin-top:17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ind w:firstLine="320" w:firstLineChars="10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南昌市教育局</w:t>
      </w:r>
      <w:r>
        <w:rPr>
          <w:rFonts w:hint="eastAsia" w:ascii="仿宋" w:hAnsi="仿宋" w:eastAsia="仿宋"/>
          <w:sz w:val="32"/>
          <w:szCs w:val="32"/>
          <w:lang w:val="en-US" w:eastAsia="zh-CN"/>
        </w:rPr>
        <w:t xml:space="preserve">  </w:t>
      </w:r>
    </w:p>
    <w:p>
      <w:pPr>
        <w:ind w:firstLine="5440" w:firstLineChars="1700"/>
        <w:rPr>
          <w:rFonts w:hint="eastAsia" w:ascii="仿宋" w:hAnsi="仿宋" w:eastAsia="仿宋"/>
          <w:sz w:val="32"/>
          <w:szCs w:val="32"/>
        </w:rPr>
      </w:pPr>
      <w:r>
        <w:rPr>
          <w:rFonts w:ascii="仿宋" w:hAnsi="仿宋" w:eastAsia="仿宋"/>
          <w:sz w:val="32"/>
          <w:szCs w:val="32"/>
        </w:rPr>
        <w:t>2019年6月27日</w:t>
      </w:r>
    </w:p>
    <w:p>
      <w:pPr>
        <w:ind w:firstLine="660"/>
        <w:rPr>
          <w:rFonts w:hint="eastAsia"/>
          <w:sz w:val="32"/>
          <w:szCs w:val="32"/>
        </w:rPr>
      </w:pPr>
    </w:p>
    <w:p>
      <w:pPr>
        <w:ind w:firstLine="660"/>
        <w:rPr>
          <w:rFonts w:hint="eastAsia"/>
          <w:sz w:val="32"/>
          <w:szCs w:val="32"/>
        </w:rPr>
      </w:pPr>
    </w:p>
    <w:p>
      <w:pPr>
        <w:ind w:firstLine="660"/>
        <w:rPr>
          <w:rFonts w:hint="eastAsia"/>
          <w:sz w:val="32"/>
          <w:szCs w:val="32"/>
        </w:rPr>
      </w:pPr>
    </w:p>
    <w:p>
      <w:pPr>
        <w:ind w:firstLine="660"/>
        <w:rPr>
          <w:rFonts w:hint="eastAsia"/>
          <w:sz w:val="32"/>
          <w:szCs w:val="32"/>
        </w:rPr>
      </w:pPr>
    </w:p>
    <w:p>
      <w:pPr>
        <w:ind w:firstLine="660"/>
        <w:rPr>
          <w:rFonts w:hint="eastAsia"/>
          <w:sz w:val="32"/>
          <w:szCs w:val="32"/>
        </w:rPr>
      </w:pPr>
    </w:p>
    <w:p>
      <w:pPr>
        <w:ind w:firstLine="660"/>
        <w:rPr>
          <w:rFonts w:hint="eastAsia"/>
          <w:sz w:val="32"/>
          <w:szCs w:val="32"/>
        </w:rPr>
      </w:pPr>
    </w:p>
    <w:p>
      <w:pPr>
        <w:ind w:firstLine="660"/>
        <w:rPr>
          <w:rFonts w:hint="eastAsia"/>
          <w:sz w:val="32"/>
          <w:szCs w:val="32"/>
        </w:rPr>
      </w:pPr>
    </w:p>
    <w:p>
      <w:pPr>
        <w:ind w:firstLine="660"/>
        <w:rPr>
          <w:rFonts w:hint="eastAsia"/>
          <w:sz w:val="32"/>
          <w:szCs w:val="32"/>
        </w:rPr>
      </w:pPr>
    </w:p>
    <w:p>
      <w:pPr>
        <w:ind w:firstLine="660"/>
        <w:rPr>
          <w:rFonts w:hint="eastAsia"/>
          <w:sz w:val="32"/>
          <w:szCs w:val="32"/>
        </w:rPr>
      </w:pPr>
    </w:p>
    <w:p>
      <w:pPr>
        <w:ind w:firstLine="660"/>
        <w:rPr>
          <w:rFonts w:hint="eastAsia"/>
          <w:sz w:val="32"/>
          <w:szCs w:val="32"/>
        </w:rPr>
      </w:pPr>
    </w:p>
    <w:p>
      <w:pPr>
        <w:ind w:firstLine="660"/>
        <w:rPr>
          <w:rFonts w:hint="eastAsia"/>
          <w:sz w:val="32"/>
          <w:szCs w:val="32"/>
        </w:rPr>
      </w:pPr>
    </w:p>
    <w:p>
      <w:pPr>
        <w:ind w:firstLine="660"/>
        <w:rPr>
          <w:rFonts w:hint="eastAsia"/>
          <w:sz w:val="32"/>
          <w:szCs w:val="32"/>
        </w:rPr>
      </w:pPr>
    </w:p>
    <w:p>
      <w:pPr>
        <w:ind w:firstLine="660"/>
        <w:rPr>
          <w:rFonts w:hint="eastAsia"/>
          <w:sz w:val="32"/>
          <w:szCs w:val="32"/>
        </w:rPr>
      </w:pPr>
    </w:p>
    <w:p>
      <w:pPr>
        <w:ind w:firstLine="660"/>
        <w:rPr>
          <w:rFonts w:hint="eastAsia"/>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default" w:eastAsia="仿宋_GB2312"/>
          <w:sz w:val="32"/>
          <w:szCs w:val="32"/>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6</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27</w:t>
      </w:r>
      <w:r>
        <w:rPr>
          <w:rFonts w:hint="eastAsia" w:ascii="仿宋_GB2312" w:eastAsia="仿宋_GB2312"/>
          <w:sz w:val="32"/>
          <w:szCs w:val="32"/>
          <w:u w:val="single"/>
        </w:rPr>
        <w:t xml:space="preserve">日印发 </w:t>
      </w:r>
      <w:bookmarkEnd w:id="1"/>
      <w:r>
        <w:rPr>
          <w:rFonts w:hint="eastAsia" w:ascii="仿宋_GB2312" w:eastAsia="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A7"/>
    <w:rsid w:val="00090C56"/>
    <w:rsid w:val="001D41B0"/>
    <w:rsid w:val="002A50AC"/>
    <w:rsid w:val="003262A9"/>
    <w:rsid w:val="00423D74"/>
    <w:rsid w:val="00593EF3"/>
    <w:rsid w:val="00614CA7"/>
    <w:rsid w:val="0061797E"/>
    <w:rsid w:val="00683993"/>
    <w:rsid w:val="009A019F"/>
    <w:rsid w:val="00B85482"/>
    <w:rsid w:val="066C7CB2"/>
    <w:rsid w:val="38374F08"/>
    <w:rsid w:val="79902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character" w:styleId="4">
    <w:name w:val="Hyperlink"/>
    <w:basedOn w:val="3"/>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Words>
  <Characters>375</Characters>
  <Lines>3</Lines>
  <Paragraphs>1</Paragraphs>
  <TotalTime>0</TotalTime>
  <ScaleCrop>false</ScaleCrop>
  <LinksUpToDate>false</LinksUpToDate>
  <CharactersWithSpaces>439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2019-06-27T02:40:00Z</dcterms:created>
  <dc:creator>Administrator</dc:creator>
  <cp:lastModifiedBy>user</cp:lastModifiedBy>
  <cp:lastPrinted>2019-06-27T03:05:00Z</cp:lastPrinted>
  <dcterms:modified xsi:type="dcterms:W3CDTF">2019-06-27T09:07:04Z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