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  <w:t>南昌市人民政府教育督导委员会办公室文件</w:t>
      </w:r>
    </w:p>
    <w:p>
      <w:pPr>
        <w:keepNext w:val="0"/>
        <w:keepLines w:val="0"/>
        <w:pageBreakBefore w:val="0"/>
        <w:widowControl w:val="0"/>
        <w:tabs>
          <w:tab w:val="center" w:pos="4213"/>
          <w:tab w:val="left" w:pos="5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rPr>
          <w:rFonts w:hint="eastAsia" w:ascii="华文中宋" w:hAnsi="华文中宋" w:eastAsia="华文中宋" w:cs="华文中宋"/>
          <w:b/>
          <w:bCs/>
          <w:color w:val="FF0000"/>
          <w:w w:val="75"/>
          <w:sz w:val="84"/>
          <w:szCs w:val="84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关于组织南昌市责任督学挂牌督导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六月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开放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日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暨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南昌市责任督学第二次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沙龙活动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的通知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ascii="宋体" w:hAnsi="宋体" w:eastAsia="仿宋_GB2312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</w:rPr>
        <w:t>各县（区）教体局，开发区（新区）教办（中心）：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为深入学习</w:t>
      </w:r>
      <w:r>
        <w:rPr>
          <w:rFonts w:hint="eastAsia" w:ascii="仿宋_GB2312" w:eastAsia="仿宋_GB2312"/>
          <w:sz w:val="32"/>
          <w:szCs w:val="32"/>
        </w:rPr>
        <w:t>党的十九大和全国教育大会精神，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全面落实《教育督导条例》《中小学校责任督学挂牌督导办法》《江西省教育督导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规定》</w:t>
      </w:r>
      <w:r>
        <w:rPr>
          <w:rFonts w:hint="eastAsia" w:ascii="仿宋" w:hAnsi="仿宋" w:eastAsia="仿宋" w:cs="仿宋"/>
          <w:sz w:val="32"/>
          <w:szCs w:val="32"/>
        </w:rPr>
        <w:t>，促进责任督学挂牌督导工作常态化、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科学化发展，提升责任督学工作水平，增强挂牌督导工作活力，决定组织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南昌市责任督学挂牌督导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开放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南昌市责任督学第二次沙龙活动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主办和承办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主办：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南昌市人民政府教育督导委员会办公室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承办：青山湖区教育体育局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参会人员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>各县（区）督导室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eastAsia="zh-CN"/>
        </w:rPr>
        <w:t>分管领导、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>负责人及责任督学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eastAsia="zh-CN"/>
        </w:rPr>
        <w:t>代表共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>人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_GB2312" w:hAnsi="仿宋" w:eastAsia="仿宋" w:cs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Cs/>
          <w:sz w:val="32"/>
          <w:szCs w:val="32"/>
        </w:rPr>
        <w:t>市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bCs/>
          <w:sz w:val="32"/>
          <w:szCs w:val="32"/>
        </w:rPr>
        <w:t>属学校、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省属</w:t>
      </w:r>
      <w:r>
        <w:rPr>
          <w:rFonts w:hint="eastAsia" w:ascii="仿宋" w:hAnsi="仿宋" w:eastAsia="仿宋"/>
          <w:bCs/>
          <w:sz w:val="32"/>
          <w:szCs w:val="32"/>
        </w:rPr>
        <w:t>事业单位办学校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及</w:t>
      </w:r>
      <w:r>
        <w:rPr>
          <w:rFonts w:hint="eastAsia" w:ascii="仿宋" w:hAnsi="仿宋" w:eastAsia="仿宋"/>
          <w:bCs/>
          <w:sz w:val="32"/>
          <w:szCs w:val="32"/>
        </w:rPr>
        <w:t>市管民办学校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责任督学和责任督学助理。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0"/>
        <w:textAlignment w:val="auto"/>
        <w:outlineLvl w:val="9"/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时间：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日（星期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，上午半</w:t>
      </w:r>
      <w:r>
        <w:rPr>
          <w:rFonts w:hint="eastAsia" w:ascii="仿宋" w:hAnsi="仿宋" w:eastAsia="仿宋" w:cs="仿宋"/>
          <w:sz w:val="32"/>
          <w:szCs w:val="32"/>
        </w:rPr>
        <w:t>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地点：</w:t>
      </w:r>
      <w:r>
        <w:rPr>
          <w:rFonts w:hint="eastAsia" w:ascii="仿宋_GB2312" w:eastAsia="仿宋_GB2312"/>
          <w:color w:val="auto"/>
          <w:sz w:val="32"/>
          <w:szCs w:val="32"/>
        </w:rPr>
        <w:t>南昌市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佛塔</w:t>
      </w:r>
      <w:r>
        <w:rPr>
          <w:rFonts w:hint="eastAsia" w:ascii="仿宋_GB2312" w:eastAsia="仿宋_GB2312"/>
          <w:color w:val="auto"/>
          <w:sz w:val="32"/>
          <w:szCs w:val="32"/>
        </w:rPr>
        <w:t>小学、南昌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市义坊学校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640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、具体安排</w:t>
      </w:r>
      <w:r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第一阶段：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 xml:space="preserve">  8:30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-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10:00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学校展示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（即“一校一品”展示）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、实地督导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第一组观摩佛塔小学“一校一品”展示及实地督导；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第二组观摩义坊学校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“一校一品”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展示及实地督导。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第二阶段：经验交流（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义坊学校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30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观看青山湖区责任督学挂牌督导宣传片；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40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青山湖区教体局葛瑛局长介绍青山湖区责任督学挂牌督导工作情况；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00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市人民政府教育督导室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主任付青岚讲话。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楷体简体" w:hAnsi="方正楷体简体" w:eastAsia="方正楷体简体" w:cs="方正楷体简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第三阶段：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沙龙活动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义坊学校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11:00-12:00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叶存洪教授  主讲《从督学的角度看学校教育》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各县（区）要高度重视，按通知要求落实参会人员，填写参会人员名单回执，于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下午下班</w:t>
      </w:r>
      <w:r>
        <w:rPr>
          <w:rFonts w:hint="eastAsia" w:ascii="仿宋" w:hAnsi="仿宋" w:eastAsia="仿宋" w:cs="仿宋"/>
          <w:sz w:val="32"/>
          <w:szCs w:val="32"/>
        </w:rPr>
        <w:t>前报送至市人民政府教育督导委员会办公室。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firstLine="480" w:firstLineChars="150"/>
        <w:jc w:val="lef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柴哲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</w:rPr>
        <w:t xml:space="preserve">83986481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</w:t>
      </w:r>
      <w:r>
        <w:rPr>
          <w:rFonts w:ascii="仿宋" w:hAnsi="仿宋" w:eastAsia="仿宋" w:cs="仿宋"/>
          <w:sz w:val="32"/>
          <w:szCs w:val="32"/>
        </w:rPr>
        <w:t>;ncjydd@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</w:t>
      </w:r>
      <w:r>
        <w:rPr>
          <w:rFonts w:ascii="仿宋" w:hAnsi="仿宋" w:eastAsia="仿宋" w:cs="仿宋"/>
          <w:sz w:val="32"/>
          <w:szCs w:val="32"/>
        </w:rPr>
        <w:t>.com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2"/>
          <w:sz w:val="32"/>
          <w:szCs w:val="32"/>
        </w:rPr>
        <w:t>参会人员须于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2"/>
          <w:sz w:val="32"/>
          <w:szCs w:val="32"/>
        </w:rPr>
        <w:t>日（星期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三</w:t>
      </w:r>
      <w:r>
        <w:rPr>
          <w:rFonts w:ascii="仿宋" w:hAnsi="仿宋" w:eastAsia="仿宋" w:cs="仿宋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>）上午</w:t>
      </w:r>
      <w:r>
        <w:rPr>
          <w:rFonts w:ascii="仿宋" w:hAnsi="仿宋" w:eastAsia="仿宋" w:cs="仿宋"/>
          <w:kern w:val="2"/>
          <w:sz w:val="32"/>
          <w:szCs w:val="32"/>
        </w:rPr>
        <w:t>8:20</w:t>
      </w:r>
      <w:r>
        <w:rPr>
          <w:rFonts w:hint="eastAsia" w:ascii="仿宋" w:hAnsi="仿宋" w:eastAsia="仿宋" w:cs="仿宋"/>
          <w:kern w:val="2"/>
          <w:sz w:val="32"/>
          <w:szCs w:val="32"/>
        </w:rPr>
        <w:t>之前自行前往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活动</w:t>
      </w:r>
      <w:r>
        <w:rPr>
          <w:rFonts w:hint="eastAsia" w:ascii="仿宋" w:hAnsi="仿宋" w:eastAsia="仿宋" w:cs="仿宋"/>
          <w:kern w:val="2"/>
          <w:sz w:val="32"/>
          <w:szCs w:val="32"/>
        </w:rPr>
        <w:t>学校。第一组完成对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佛塔小学观摩</w:t>
      </w:r>
      <w:r>
        <w:rPr>
          <w:rFonts w:hint="eastAsia" w:ascii="仿宋" w:hAnsi="仿宋" w:eastAsia="仿宋" w:cs="仿宋"/>
          <w:kern w:val="2"/>
          <w:sz w:val="32"/>
          <w:szCs w:val="32"/>
        </w:rPr>
        <w:t>后，须于上午</w:t>
      </w:r>
      <w:r>
        <w:rPr>
          <w:rFonts w:ascii="仿宋" w:hAnsi="仿宋" w:eastAsia="仿宋" w:cs="仿宋"/>
          <w:kern w:val="2"/>
          <w:sz w:val="32"/>
          <w:szCs w:val="32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0:10</w:t>
      </w:r>
      <w:r>
        <w:rPr>
          <w:rFonts w:hint="eastAsia" w:ascii="仿宋" w:hAnsi="仿宋" w:eastAsia="仿宋" w:cs="仿宋"/>
          <w:kern w:val="2"/>
          <w:sz w:val="32"/>
          <w:szCs w:val="32"/>
        </w:rPr>
        <w:t>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自行前往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义坊学校</w:t>
      </w:r>
      <w:r>
        <w:rPr>
          <w:rFonts w:hint="eastAsia" w:ascii="仿宋" w:hAnsi="仿宋" w:eastAsia="仿宋" w:cs="仿宋"/>
          <w:kern w:val="2"/>
          <w:sz w:val="32"/>
          <w:szCs w:val="32"/>
        </w:rPr>
        <w:t>参加后续活动。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32"/>
          <w:szCs w:val="32"/>
          <w:shd w:val="clear" w:color="auto" w:fill="FFFFFF"/>
        </w:rPr>
        <w:t>南昌市责任督学挂牌督导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32"/>
          <w:szCs w:val="32"/>
          <w:shd w:val="clear" w:color="auto" w:fill="FFFFFF"/>
        </w:rPr>
        <w:t>开放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kern w:val="0"/>
          <w:sz w:val="32"/>
          <w:szCs w:val="32"/>
          <w:shd w:val="clear" w:color="auto" w:fill="FFFFFF"/>
          <w:lang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sz w:val="32"/>
          <w:szCs w:val="32"/>
          <w:shd w:val="clear" w:color="auto" w:fill="FFFFFF"/>
        </w:rPr>
        <w:t>分组安排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2.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参会人员名单回执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127000</wp:posOffset>
            </wp:positionV>
            <wp:extent cx="1964055" cy="1877060"/>
            <wp:effectExtent l="0" t="0" r="0" b="0"/>
            <wp:wrapNone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right"/>
        <w:textAlignment w:val="auto"/>
        <w:outlineLvl w:val="9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南昌市人民政府教育督导委员会办公室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201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南昌市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教育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督导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委员会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859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-6"/>
          <w:kern w:val="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859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-6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pacing w:val="-6"/>
          <w:kern w:val="0"/>
          <w:sz w:val="44"/>
          <w:szCs w:val="44"/>
          <w:shd w:val="clear" w:color="auto" w:fill="FFFFFF"/>
        </w:rPr>
        <w:t>南昌市责任督学挂牌督导</w:t>
      </w:r>
      <w:r>
        <w:rPr>
          <w:rFonts w:hint="eastAsia" w:ascii="仿宋" w:hAnsi="仿宋" w:eastAsia="仿宋" w:cs="仿宋"/>
          <w:b/>
          <w:bCs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spacing w:val="-6"/>
          <w:kern w:val="0"/>
          <w:sz w:val="44"/>
          <w:szCs w:val="44"/>
          <w:shd w:val="clear" w:color="auto" w:fill="FFFFFF"/>
          <w:lang w:val="en-US" w:eastAsia="zh-CN"/>
        </w:rPr>
        <w:t>月</w:t>
      </w:r>
      <w:r>
        <w:rPr>
          <w:rFonts w:hint="eastAsia" w:ascii="仿宋" w:hAnsi="仿宋" w:eastAsia="仿宋" w:cs="仿宋"/>
          <w:b/>
          <w:bCs/>
          <w:color w:val="000000"/>
          <w:spacing w:val="-6"/>
          <w:kern w:val="0"/>
          <w:sz w:val="44"/>
          <w:szCs w:val="44"/>
          <w:shd w:val="clear" w:color="auto" w:fill="FFFFFF"/>
        </w:rPr>
        <w:t>开放</w:t>
      </w:r>
      <w:r>
        <w:rPr>
          <w:rFonts w:hint="eastAsia" w:ascii="仿宋" w:hAnsi="仿宋" w:eastAsia="仿宋" w:cs="仿宋"/>
          <w:b/>
          <w:bCs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日</w:t>
      </w:r>
      <w:r>
        <w:rPr>
          <w:rFonts w:hint="eastAsia" w:ascii="仿宋" w:hAnsi="仿宋" w:eastAsia="仿宋" w:cs="仿宋"/>
          <w:b/>
          <w:bCs/>
          <w:color w:val="000000"/>
          <w:spacing w:val="-6"/>
          <w:sz w:val="44"/>
          <w:szCs w:val="44"/>
          <w:shd w:val="clear" w:color="auto" w:fill="FFFFFF"/>
        </w:rPr>
        <w:t>分组安排</w:t>
      </w:r>
    </w:p>
    <w:tbl>
      <w:tblPr>
        <w:tblStyle w:val="3"/>
        <w:tblpPr w:leftFromText="180" w:rightFromText="180" w:vertAnchor="text" w:horzAnchor="page" w:tblpXSpec="center" w:tblpY="157"/>
        <w:tblOverlap w:val="never"/>
        <w:tblW w:w="13225" w:type="dxa"/>
        <w:jc w:val="center"/>
        <w:tblInd w:w="-18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99"/>
        <w:gridCol w:w="2985"/>
        <w:gridCol w:w="2655"/>
        <w:gridCol w:w="2993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分组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县（区）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责任督学</w:t>
            </w:r>
          </w:p>
        </w:tc>
        <w:tc>
          <w:tcPr>
            <w:tcW w:w="2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青山湖区联络员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及联系电话</w:t>
            </w:r>
          </w:p>
        </w:tc>
        <w:tc>
          <w:tcPr>
            <w:tcW w:w="2145" w:type="dxa"/>
            <w:vAlign w:val="top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市级联络员及联系电话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组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南昌市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佛塔小学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东湖区、西湖区、南昌县、高新区、青云谱区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校长：吴敏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责任督学：许玮</w:t>
            </w:r>
          </w:p>
        </w:tc>
        <w:tc>
          <w:tcPr>
            <w:tcW w:w="2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督导室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副主任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秦菊兰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13979145730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督导室干部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罗舒萱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15970615199</w:t>
            </w:r>
          </w:p>
        </w:tc>
        <w:tc>
          <w:tcPr>
            <w:tcW w:w="2145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曾磊</w:t>
            </w:r>
          </w:p>
          <w:p>
            <w:pPr>
              <w:widowControl/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18720909918</w:t>
            </w:r>
          </w:p>
          <w:p>
            <w:pPr>
              <w:widowControl/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组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南昌市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义坊学校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  <w:t>安义县、进贤县、湾里区、经开区、红谷滩新区、新建区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校长：郎小荣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责任督学：俞冬生</w:t>
            </w:r>
          </w:p>
        </w:tc>
        <w:tc>
          <w:tcPr>
            <w:tcW w:w="2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督导室书记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李明成15907007075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督导室干部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熊磊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13970092086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督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导室干部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万方圆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15279137216</w:t>
            </w:r>
          </w:p>
        </w:tc>
        <w:tc>
          <w:tcPr>
            <w:tcW w:w="2145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柴哲</w:t>
            </w:r>
          </w:p>
          <w:p>
            <w:pPr>
              <w:widowControl/>
              <w:spacing w:line="460" w:lineRule="exact"/>
              <w:jc w:val="left"/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18870070773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温馨提示：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义坊学校，即南昌三中青山湖罗家校区，导航可搜索“南昌三中青山湖罗家校区”。佛塔小学，导航可搜索“新佛塔小学”，校门口为无名路，建议走高新大道拐入。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6838" w:h="11906" w:orient="landscape"/>
          <w:pgMar w:top="1020" w:right="1440" w:bottom="1020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shd w:val="clear" w:color="auto" w:fill="FFFFFF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hd w:val="clear" w:color="auto" w:fill="FFFFFF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hd w:val="clear" w:color="auto" w:fill="FFFFFF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参会人员名单回执</w:t>
      </w:r>
    </w:p>
    <w:p>
      <w:pPr>
        <w:shd w:val="clear" w:color="auto" w:fill="FFFFFF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县（区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）：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tbl>
      <w:tblPr>
        <w:tblStyle w:val="3"/>
        <w:tblW w:w="93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686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51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518" w:type="dxa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518" w:type="dxa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DECF"/>
    <w:multiLevelType w:val="singleLevel"/>
    <w:tmpl w:val="26A8DE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37B53"/>
    <w:rsid w:val="0A2E00A1"/>
    <w:rsid w:val="42637B53"/>
    <w:rsid w:val="477C0EBF"/>
    <w:rsid w:val="79C91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2019-05-30T08:11:00Z</dcterms:created>
  <dc:creator>上善若水</dc:creator>
  <cp:lastModifiedBy>user</cp:lastModifiedBy>
  <cp:lastPrinted>2019-05-30T08:45:00Z</cp:lastPrinted>
  <dcterms:modified xsi:type="dcterms:W3CDTF">2019-06-03T02:46:19Z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